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65ACB" w14:textId="55AC49C1" w:rsidR="00CB0BAB" w:rsidRDefault="00CB0BAB" w:rsidP="00867E69">
      <w:pPr>
        <w:spacing w:before="720" w:after="240"/>
        <w:rPr>
          <w:b/>
        </w:rPr>
      </w:pPr>
      <w:r w:rsidRPr="00CB0BAB">
        <w:rPr>
          <w:noProof/>
          <w:sz w:val="26"/>
          <w:szCs w:val="26"/>
        </w:rPr>
        <mc:AlternateContent>
          <mc:Choice Requires="wps">
            <w:drawing>
              <wp:anchor distT="0" distB="0" distL="114300" distR="114300" simplePos="0" relativeHeight="251663360" behindDoc="0" locked="1" layoutInCell="1" allowOverlap="1" wp14:anchorId="51037841" wp14:editId="4B2C0A10">
                <wp:simplePos x="0" y="0"/>
                <wp:positionH relativeFrom="column">
                  <wp:posOffset>4839335</wp:posOffset>
                </wp:positionH>
                <wp:positionV relativeFrom="page">
                  <wp:posOffset>1674495</wp:posOffset>
                </wp:positionV>
                <wp:extent cx="1381760" cy="624205"/>
                <wp:effectExtent l="0" t="0" r="889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624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F6CEC" w14:textId="1E632C46" w:rsidR="00CB0BAB" w:rsidRDefault="00CB0BAB" w:rsidP="00CB0BAB">
                            <w:pPr>
                              <w:pStyle w:val="KeinLeerraum1"/>
                              <w:jc w:val="right"/>
                              <w:rPr>
                                <w:b/>
                              </w:rPr>
                            </w:pPr>
                          </w:p>
                          <w:p w14:paraId="5B9262DD" w14:textId="3319962C" w:rsidR="00CB0BAB" w:rsidRDefault="00CB0BAB" w:rsidP="00CB0BAB">
                            <w:pPr>
                              <w:pStyle w:val="KeinLeerraum1"/>
                              <w:jc w:val="right"/>
                              <w:rPr>
                                <w:b/>
                              </w:rPr>
                            </w:pPr>
                            <w:r>
                              <w:rPr>
                                <w:b/>
                              </w:rPr>
                              <w:t>6. Dezember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037841" id="_x0000_t202" coordsize="21600,21600" o:spt="202" path="m,l,21600r21600,l21600,xe">
                <v:stroke joinstyle="miter"/>
                <v:path gradientshapeok="t" o:connecttype="rect"/>
              </v:shapetype>
              <v:shape id="Text Box 3" o:spid="_x0000_s1026" type="#_x0000_t202" style="position:absolute;margin-left:381.05pt;margin-top:131.85pt;width:108.8pt;height:4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" stroked="f">
                <v:textbox>
                  <w:txbxContent>
                    <w:p w14:paraId="27CF6CEC" w14:textId="1E632C46" w:rsidR="00CB0BAB" w:rsidRDefault="00CB0BAB" w:rsidP="00CB0BAB">
                      <w:pPr>
                        <w:pStyle w:val="KeinLeerraum1"/>
                        <w:jc w:val="right"/>
                        <w:rPr>
                          <w:b/>
                        </w:rPr>
                      </w:pPr>
                    </w:p>
                    <w:p w14:paraId="5B9262DD" w14:textId="3319962C" w:rsidR="00CB0BAB" w:rsidRDefault="00CB0BAB" w:rsidP="00CB0BAB">
                      <w:pPr>
                        <w:pStyle w:val="KeinLeerraum1"/>
                        <w:jc w:val="right"/>
                        <w:rPr>
                          <w:b/>
                        </w:rPr>
                      </w:pPr>
                      <w:r>
                        <w:rPr>
                          <w:b/>
                        </w:rPr>
                        <w:t>6. Dezember 2024</w:t>
                      </w:r>
                    </w:p>
                  </w:txbxContent>
                </v:textbox>
                <w10:wrap anchory="page"/>
                <w10:anchorlock/>
              </v:shape>
            </w:pict>
          </mc:Fallback>
        </mc:AlternateContent>
      </w:r>
      <w:r w:rsidRPr="00CB0BAB">
        <w:rPr>
          <w:noProof/>
          <w:sz w:val="26"/>
          <w:szCs w:val="26"/>
        </w:rPr>
        <mc:AlternateContent>
          <mc:Choice Requires="wps">
            <w:drawing>
              <wp:anchor distT="0" distB="0" distL="114300" distR="114300" simplePos="0" relativeHeight="251661312" behindDoc="0" locked="1" layoutInCell="1" allowOverlap="1" wp14:anchorId="16EC78C2" wp14:editId="774BE055">
                <wp:simplePos x="0" y="0"/>
                <wp:positionH relativeFrom="margin">
                  <wp:posOffset>-127000</wp:posOffset>
                </wp:positionH>
                <wp:positionV relativeFrom="page">
                  <wp:posOffset>727075</wp:posOffset>
                </wp:positionV>
                <wp:extent cx="3116580" cy="413385"/>
                <wp:effectExtent l="0" t="0" r="762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BE1E1" w14:textId="77777777" w:rsidR="00CB0BAB" w:rsidRPr="00CB0BAB" w:rsidRDefault="00CB0BAB" w:rsidP="00CB0BAB">
                            <w:pPr>
                              <w:spacing w:after="0" w:line="240" w:lineRule="auto"/>
                              <w:rPr>
                                <w:rFonts w:ascii="TheSansOffice" w:eastAsia="Times New Roman" w:hAnsi="TheSansOffice" w:cs="Times New Roman"/>
                                <w:b/>
                                <w:color w:val="0197C6"/>
                                <w:sz w:val="36"/>
                                <w:szCs w:val="36"/>
                                <w:lang w:eastAsia="de-DE"/>
                              </w:rPr>
                            </w:pPr>
                            <w:r w:rsidRPr="00CB0BAB">
                              <w:rPr>
                                <w:rFonts w:ascii="TheSansOffice" w:eastAsia="Times New Roman" w:hAnsi="TheSansOffice" w:cs="Times New Roman"/>
                                <w:b/>
                                <w:color w:val="0197C6"/>
                                <w:sz w:val="36"/>
                                <w:szCs w:val="36"/>
                                <w:lang w:eastAsia="de-DE"/>
                              </w:rPr>
                              <w:t>Presseinformation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EC78C2" id="Text Box 1" o:spid="_x0000_s1027" type="#_x0000_t202" style="position:absolute;margin-left:-10pt;margin-top:57.25pt;width:245.4pt;height:3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" stroked="f">
                <v:textbox>
                  <w:txbxContent>
                    <w:p w14:paraId="166BE1E1" w14:textId="77777777" w:rsidR="00CB0BAB" w:rsidRPr="00CB0BAB" w:rsidRDefault="00CB0BAB" w:rsidP="00CB0BAB">
                      <w:pPr>
                        <w:spacing w:after="0" w:line="240" w:lineRule="auto"/>
                        <w:rPr>
                          <w:rFonts w:ascii="TheSansOffice" w:eastAsia="Times New Roman" w:hAnsi="TheSansOffice" w:cs="Times New Roman"/>
                          <w:b/>
                          <w:color w:val="0197C6"/>
                          <w:sz w:val="36"/>
                          <w:szCs w:val="36"/>
                          <w:lang w:eastAsia="de-DE"/>
                        </w:rPr>
                      </w:pPr>
                      <w:r w:rsidRPr="00CB0BAB">
                        <w:rPr>
                          <w:rFonts w:ascii="TheSansOffice" w:eastAsia="Times New Roman" w:hAnsi="TheSansOffice" w:cs="Times New Roman"/>
                          <w:b/>
                          <w:color w:val="0197C6"/>
                          <w:sz w:val="36"/>
                          <w:szCs w:val="36"/>
                          <w:lang w:eastAsia="de-DE"/>
                        </w:rPr>
                        <w:t>Presseinformation</w:t>
                      </w:r>
                    </w:p>
                  </w:txbxContent>
                </v:textbox>
                <w10:wrap anchorx="margin" anchory="page"/>
                <w10:anchorlock/>
              </v:shape>
            </w:pict>
          </mc:Fallback>
        </mc:AlternateContent>
      </w:r>
      <w:r w:rsidR="00280FD1" w:rsidRPr="00CB0BAB">
        <w:rPr>
          <w:b/>
          <w:noProof/>
          <w:sz w:val="26"/>
          <w:szCs w:val="26"/>
          <w:lang w:eastAsia="de-DE"/>
        </w:rPr>
        <w:drawing>
          <wp:anchor distT="0" distB="0" distL="114300" distR="114300" simplePos="0" relativeHeight="251659264" behindDoc="0" locked="0" layoutInCell="0" allowOverlap="1" wp14:anchorId="6673EC7C" wp14:editId="507BAF28">
            <wp:simplePos x="0" y="0"/>
            <wp:positionH relativeFrom="column">
              <wp:posOffset>4516755</wp:posOffset>
            </wp:positionH>
            <wp:positionV relativeFrom="page">
              <wp:posOffset>260985</wp:posOffset>
            </wp:positionV>
            <wp:extent cx="1821815" cy="1367790"/>
            <wp:effectExtent l="0" t="0" r="6985" b="3810"/>
            <wp:wrapTopAndBottom/>
            <wp:docPr id="5" name="Bild 2" descr="Logo ZDB 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 ZDB VT"/>
                    <pic:cNvPicPr>
                      <a:picLocks noChangeAspect="1" noChangeArrowheads="1"/>
                    </pic:cNvPicPr>
                  </pic:nvPicPr>
                  <pic:blipFill>
                    <a:blip r:embed="rId7"/>
                    <a:srcRect/>
                    <a:stretch>
                      <a:fillRect/>
                    </a:stretch>
                  </pic:blipFill>
                  <pic:spPr bwMode="auto">
                    <a:xfrm>
                      <a:off x="0" y="0"/>
                      <a:ext cx="1821815" cy="13677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A2ED1">
        <w:rPr>
          <w:b/>
          <w:sz w:val="26"/>
          <w:szCs w:val="26"/>
        </w:rPr>
        <w:t xml:space="preserve">ZDB </w:t>
      </w:r>
      <w:r w:rsidR="00370963" w:rsidRPr="00CB0BAB">
        <w:rPr>
          <w:b/>
          <w:sz w:val="26"/>
          <w:szCs w:val="26"/>
        </w:rPr>
        <w:t>Herbstumfrage 202</w:t>
      </w:r>
      <w:r w:rsidR="00DE34FB" w:rsidRPr="00CB0BAB">
        <w:rPr>
          <w:b/>
          <w:sz w:val="26"/>
          <w:szCs w:val="26"/>
        </w:rPr>
        <w:t>4</w:t>
      </w:r>
      <w:r w:rsidR="00370963">
        <w:rPr>
          <w:b/>
        </w:rPr>
        <w:t>:</w:t>
      </w:r>
      <w:r w:rsidR="00DE34FB">
        <w:rPr>
          <w:b/>
        </w:rPr>
        <w:t xml:space="preserve"> </w:t>
      </w:r>
    </w:p>
    <w:p w14:paraId="285E8854" w14:textId="1DBC1AA1" w:rsidR="00370963" w:rsidRPr="00CB0BAB" w:rsidRDefault="00DE34FB" w:rsidP="00CB0BAB">
      <w:pPr>
        <w:spacing w:before="120"/>
        <w:rPr>
          <w:b/>
          <w:sz w:val="26"/>
          <w:szCs w:val="26"/>
        </w:rPr>
      </w:pPr>
      <w:r w:rsidRPr="00CB0BAB">
        <w:rPr>
          <w:b/>
          <w:sz w:val="26"/>
          <w:szCs w:val="26"/>
        </w:rPr>
        <w:t>Bauwirtschaft bleibt im Spannungsfeld von Auftrags- und Fachkräftemangel</w:t>
      </w:r>
      <w:r w:rsidR="00370963" w:rsidRPr="00CB0BAB">
        <w:rPr>
          <w:b/>
          <w:sz w:val="26"/>
          <w:szCs w:val="26"/>
        </w:rPr>
        <w:t>.</w:t>
      </w:r>
    </w:p>
    <w:p w14:paraId="4DA0BDAE" w14:textId="25FCCF5F" w:rsidR="00370963" w:rsidRDefault="00370963" w:rsidP="00370963">
      <w:pPr>
        <w:rPr>
          <w:b/>
        </w:rPr>
      </w:pPr>
      <w:r>
        <w:rPr>
          <w:b/>
        </w:rPr>
        <w:t xml:space="preserve">Die </w:t>
      </w:r>
      <w:r w:rsidR="00DE34FB">
        <w:rPr>
          <w:b/>
        </w:rPr>
        <w:t>ca.</w:t>
      </w:r>
      <w:r>
        <w:rPr>
          <w:b/>
        </w:rPr>
        <w:t xml:space="preserve"> 1.</w:t>
      </w:r>
      <w:r w:rsidR="00E65F63">
        <w:rPr>
          <w:b/>
        </w:rPr>
        <w:t>650</w:t>
      </w:r>
      <w:r>
        <w:rPr>
          <w:b/>
        </w:rPr>
        <w:t xml:space="preserve"> Unternehmen, die sich an der Herbstumfrage 202</w:t>
      </w:r>
      <w:r w:rsidR="00DE34FB">
        <w:rPr>
          <w:b/>
        </w:rPr>
        <w:t>4</w:t>
      </w:r>
      <w:r>
        <w:rPr>
          <w:b/>
        </w:rPr>
        <w:t xml:space="preserve"> des ZDB beteiligt haben, </w:t>
      </w:r>
      <w:r w:rsidR="00DE34FB">
        <w:rPr>
          <w:b/>
        </w:rPr>
        <w:t>sehen sich weiter einer schwachen Auftragslage gegenüber</w:t>
      </w:r>
      <w:r w:rsidR="00023726">
        <w:rPr>
          <w:b/>
        </w:rPr>
        <w:t>. D</w:t>
      </w:r>
      <w:r w:rsidR="00DE34FB">
        <w:rPr>
          <w:b/>
        </w:rPr>
        <w:t xml:space="preserve">ie vorhandenen Kapazitäten </w:t>
      </w:r>
      <w:r w:rsidR="00023726">
        <w:rPr>
          <w:b/>
        </w:rPr>
        <w:t>können nicht</w:t>
      </w:r>
      <w:r w:rsidR="00DE34FB">
        <w:rPr>
          <w:b/>
        </w:rPr>
        <w:t xml:space="preserve"> aus</w:t>
      </w:r>
      <w:r w:rsidR="00023726">
        <w:rPr>
          <w:b/>
        </w:rPr>
        <w:t>ge</w:t>
      </w:r>
      <w:r w:rsidR="00DE34FB">
        <w:rPr>
          <w:b/>
        </w:rPr>
        <w:t>lastet</w:t>
      </w:r>
      <w:r w:rsidR="00023726">
        <w:rPr>
          <w:b/>
        </w:rPr>
        <w:t xml:space="preserve"> werden</w:t>
      </w:r>
      <w:r>
        <w:rPr>
          <w:b/>
        </w:rPr>
        <w:t xml:space="preserve">. </w:t>
      </w:r>
      <w:r w:rsidR="00DE34FB">
        <w:rPr>
          <w:b/>
        </w:rPr>
        <w:t xml:space="preserve">Das drückt auf die Bereitschaft zu investieren und Beschäftigte neu einzustellen. Gleichzeitig wird weiter ein Fachkräftemangel gemeldet, dies insbesondere aus dem </w:t>
      </w:r>
      <w:r w:rsidR="00E65F63">
        <w:rPr>
          <w:b/>
        </w:rPr>
        <w:t>T</w:t>
      </w:r>
      <w:r w:rsidR="00DE34FB">
        <w:rPr>
          <w:b/>
        </w:rPr>
        <w:t xml:space="preserve">iefbaubereich. </w:t>
      </w:r>
    </w:p>
    <w:p w14:paraId="2A999AC6" w14:textId="77777777" w:rsidR="00370963" w:rsidRPr="005B0CF5" w:rsidRDefault="00370963" w:rsidP="00370963">
      <w:pPr>
        <w:rPr>
          <w:b/>
          <w:iCs/>
        </w:rPr>
      </w:pPr>
      <w:r w:rsidRPr="005B0CF5">
        <w:rPr>
          <w:b/>
          <w:iCs/>
        </w:rPr>
        <w:t>Struktur der Umfrage und der teilnehmenden Unternehmen; Fragen 2-4</w:t>
      </w:r>
    </w:p>
    <w:p w14:paraId="61D35A3F" w14:textId="1EAB29D3" w:rsidR="00370963" w:rsidRDefault="00370963" w:rsidP="00370963">
      <w:r w:rsidRPr="00F72DA6">
        <w:t xml:space="preserve">An der </w:t>
      </w:r>
      <w:r>
        <w:t>Herbst</w:t>
      </w:r>
      <w:r w:rsidRPr="00F72DA6">
        <w:t>umfrage 202</w:t>
      </w:r>
      <w:r w:rsidR="00E65F63">
        <w:t>4</w:t>
      </w:r>
      <w:r w:rsidRPr="00F72DA6">
        <w:t xml:space="preserve"> des ZDB haben sich 1.</w:t>
      </w:r>
      <w:r>
        <w:t>6</w:t>
      </w:r>
      <w:r w:rsidR="00E65F63">
        <w:t>42</w:t>
      </w:r>
      <w:r w:rsidRPr="00F72DA6">
        <w:t xml:space="preserve"> Unternehmen beteiligt. </w:t>
      </w:r>
      <w:r>
        <w:t>Gut d</w:t>
      </w:r>
      <w:r w:rsidRPr="00F72DA6">
        <w:t xml:space="preserve">ie Hälfte der Unternehmen ist schwerpunktmäßig im Hochbau tätig, </w:t>
      </w:r>
      <w:r>
        <w:t xml:space="preserve">nahezu 20 </w:t>
      </w:r>
      <w:r w:rsidRPr="00F72DA6">
        <w:t>% im Hoch- und Tiefbau, ca. 1</w:t>
      </w:r>
      <w:r>
        <w:t xml:space="preserve">2 </w:t>
      </w:r>
      <w:r w:rsidRPr="00F72DA6">
        <w:t xml:space="preserve">% im Tiefbau. Dem Ausbau rechnen sich </w:t>
      </w:r>
      <w:r>
        <w:t>knapp</w:t>
      </w:r>
      <w:r w:rsidRPr="00F72DA6">
        <w:t xml:space="preserve"> </w:t>
      </w:r>
      <w:r>
        <w:t xml:space="preserve">20 </w:t>
      </w:r>
      <w:r w:rsidRPr="00F72DA6">
        <w:t>% der Teilnehmer zu.</w:t>
      </w:r>
      <w:r>
        <w:t xml:space="preserve"> </w:t>
      </w:r>
      <w:r w:rsidRPr="00F72DA6">
        <w:t>(Frage 3).</w:t>
      </w:r>
    </w:p>
    <w:p w14:paraId="4E7D436C" w14:textId="7400E779" w:rsidR="003634C3" w:rsidRDefault="003634C3" w:rsidP="00370963">
      <w:r w:rsidRPr="003634C3">
        <w:rPr>
          <w:noProof/>
          <w:sz w:val="18"/>
          <w:szCs w:val="18"/>
        </w:rPr>
        <w:drawing>
          <wp:inline distT="0" distB="0" distL="0" distR="0" wp14:anchorId="61BD0D88" wp14:editId="2D257AF9">
            <wp:extent cx="3951515" cy="1915885"/>
            <wp:effectExtent l="0" t="0" r="11430" b="8255"/>
            <wp:docPr id="515032364"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3A0532" w14:textId="7446D907" w:rsidR="00370963" w:rsidRDefault="00E65F63" w:rsidP="00370963">
      <w:r>
        <w:t>Etwa ein Drittel</w:t>
      </w:r>
      <w:r w:rsidR="00370963">
        <w:t xml:space="preserve"> der Unternehmen erwirtschaften ihre Umsätze ganz überwiegend im Neubau, etwa </w:t>
      </w:r>
      <w:r>
        <w:t>ein Drittel</w:t>
      </w:r>
      <w:r w:rsidR="00370963">
        <w:t xml:space="preserve"> überwiegend im Bestand und ebenfalls </w:t>
      </w:r>
      <w:r>
        <w:t>ein Drittel</w:t>
      </w:r>
      <w:r w:rsidR="00370963">
        <w:t xml:space="preserve"> sowohl mit Neubau- als auch Bestand; (Frage 4).</w:t>
      </w:r>
    </w:p>
    <w:p w14:paraId="0D71B64F" w14:textId="29F438FE" w:rsidR="003634C3" w:rsidRDefault="003634C3" w:rsidP="00370963">
      <w:r w:rsidRPr="003634C3">
        <w:rPr>
          <w:noProof/>
        </w:rPr>
        <w:drawing>
          <wp:inline distT="0" distB="0" distL="0" distR="0" wp14:anchorId="193B2079" wp14:editId="01FE330B">
            <wp:extent cx="3952800" cy="1915200"/>
            <wp:effectExtent l="0" t="0" r="10160" b="8890"/>
            <wp:docPr id="1960464229"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E60EA1" w14:textId="34EF95DB" w:rsidR="00370963" w:rsidRDefault="00370963" w:rsidP="00370963">
      <w:r w:rsidRPr="00530384">
        <w:lastRenderedPageBreak/>
        <w:t xml:space="preserve">Etwa </w:t>
      </w:r>
      <w:r>
        <w:t>zwei Drittel</w:t>
      </w:r>
      <w:r w:rsidRPr="00530384">
        <w:t xml:space="preserve"> der an der Umfrage teilnehmenden Unternehmen haben weniger als 20 Beschäftigte, etwa </w:t>
      </w:r>
      <w:r>
        <w:t>ein Drittel</w:t>
      </w:r>
      <w:r w:rsidRPr="00530384">
        <w:t xml:space="preserve"> haben 20 und mehr Beschäftigte. Die Unternehmen mit 20 und mehr Beschäftigten sind damit gegenüber der Grundgesamtheit der Bauunternehmen im Bauhauptgewerbe in Deutschland etwas überrepräsentiert. Im Bauhauptgewerbe in Deutschland haben ca. 90</w:t>
      </w:r>
      <w:r>
        <w:t xml:space="preserve"> </w:t>
      </w:r>
      <w:r w:rsidRPr="00530384">
        <w:t>% der Betriebe weniger als 20 Beschäftigte; (Frage 2).</w:t>
      </w:r>
    </w:p>
    <w:p w14:paraId="56BA76CF" w14:textId="7AA00EFD" w:rsidR="003634C3" w:rsidRDefault="00B10FDE" w:rsidP="00370963">
      <w:r>
        <w:t>Die Struktur der teilnehmenden Unternehmen der Umfrage und die Verteilung ihrer Geschäftsfelder hat sich damit kaum gegenüber vorherigen Umfragen verändert. Da auch die Fragenstruktur erhalten geblieben ist, können die Ergebnisse mit vorherigen Umfrageergebnissen verglichen werden.</w:t>
      </w:r>
    </w:p>
    <w:p w14:paraId="261A6F87" w14:textId="54A065A4" w:rsidR="003634C3" w:rsidRDefault="003634C3" w:rsidP="00370963">
      <w:r w:rsidRPr="003634C3">
        <w:rPr>
          <w:noProof/>
        </w:rPr>
        <w:drawing>
          <wp:inline distT="0" distB="0" distL="0" distR="0" wp14:anchorId="2868234A" wp14:editId="6885B39B">
            <wp:extent cx="3960000" cy="1620000"/>
            <wp:effectExtent l="0" t="0" r="2540" b="18415"/>
            <wp:docPr id="1459807"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BDE226" w14:textId="77777777" w:rsidR="00370963" w:rsidRPr="005B0CF5" w:rsidRDefault="00370963" w:rsidP="00370963">
      <w:pPr>
        <w:rPr>
          <w:b/>
          <w:iCs/>
        </w:rPr>
      </w:pPr>
      <w:r w:rsidRPr="005B0CF5">
        <w:rPr>
          <w:b/>
          <w:iCs/>
        </w:rPr>
        <w:t>Beurteilung der Geschäftslage und Geschäftserwartungen; Fragen 5-</w:t>
      </w:r>
      <w:r>
        <w:rPr>
          <w:b/>
          <w:iCs/>
        </w:rPr>
        <w:t>7</w:t>
      </w:r>
    </w:p>
    <w:p w14:paraId="67270385" w14:textId="3EB6C866" w:rsidR="0061342D" w:rsidRDefault="00110FFF" w:rsidP="0061342D">
      <w:r w:rsidRPr="00110FFF">
        <w:t xml:space="preserve">Die Hälfte der Unternehmen bewertet ihre </w:t>
      </w:r>
      <w:r w:rsidRPr="00110FFF">
        <w:rPr>
          <w:i/>
        </w:rPr>
        <w:t>Geschäftslage</w:t>
      </w:r>
      <w:r w:rsidRPr="00110FFF">
        <w:t xml:space="preserve"> mit „Schlecht“, nur 13 Prozent votieren mit gut, dabei fallen die Wertungen im Wirtschaftsbau mit 8 Prozent Gut-Wertung und 6,5 Prozent im öffentlichen Hochbau noch einmal ab. Der Saldo zur Geschäftslage liegt insgesamt um </w:t>
      </w:r>
      <w:r w:rsidR="003D4531">
        <w:t>7</w:t>
      </w:r>
      <w:r w:rsidRPr="00110FFF">
        <w:t xml:space="preserve"> Prozentpunkte unter dem Vorjahreswert.</w:t>
      </w:r>
      <w:r>
        <w:t xml:space="preserve"> </w:t>
      </w:r>
    </w:p>
    <w:p w14:paraId="47A408C2" w14:textId="6B0D2071" w:rsidR="0061342D" w:rsidRDefault="0061342D" w:rsidP="0061342D">
      <w:r>
        <w:t>Die besten Lagebeurteilungen werden derzeit noch im sonstigen Tiefbau (Tiefbau ohne Straßenbau) und im Ausbau gemeldet.</w:t>
      </w:r>
      <w:r w:rsidRPr="002B0D68">
        <w:t xml:space="preserve"> </w:t>
      </w:r>
      <w:r>
        <w:t xml:space="preserve">Hier </w:t>
      </w:r>
      <w:r w:rsidR="00CB3E34">
        <w:t>sehen</w:t>
      </w:r>
      <w:r>
        <w:t xml:space="preserve"> jeweils ca. </w:t>
      </w:r>
      <w:r w:rsidR="009B5B86">
        <w:t>8</w:t>
      </w:r>
      <w:r>
        <w:t xml:space="preserve">0 % der Unternehmen eine </w:t>
      </w:r>
      <w:r w:rsidR="0084482E">
        <w:t>gute oder zumindest befriedigende</w:t>
      </w:r>
      <w:r>
        <w:t xml:space="preserve"> Geschäftslage. (Frage 5)</w:t>
      </w:r>
    </w:p>
    <w:p w14:paraId="37A0216F" w14:textId="72E4A915" w:rsidR="00FE47E1" w:rsidRPr="00FE47E1" w:rsidRDefault="00FE47E1" w:rsidP="0061342D">
      <w:pPr>
        <w:rPr>
          <w:color w:val="0197C6"/>
        </w:rPr>
      </w:pPr>
      <w:r w:rsidRPr="00FE47E1">
        <w:rPr>
          <w:color w:val="0197C6"/>
        </w:rPr>
        <w:t xml:space="preserve">Beurteilung </w:t>
      </w:r>
      <w:r w:rsidRPr="00FE47E1">
        <w:rPr>
          <w:b/>
          <w:bCs/>
          <w:color w:val="0197C6"/>
        </w:rPr>
        <w:t>gegenwärtige Geschäftslage</w:t>
      </w:r>
    </w:p>
    <w:p w14:paraId="75F22EFF" w14:textId="69AA174E" w:rsidR="003634C3" w:rsidRDefault="003634C3" w:rsidP="0061342D">
      <w:r w:rsidRPr="003634C3">
        <w:rPr>
          <w:noProof/>
        </w:rPr>
        <w:drawing>
          <wp:inline distT="0" distB="0" distL="0" distR="0" wp14:anchorId="3D4CFD01" wp14:editId="1E7544AC">
            <wp:extent cx="3960000" cy="1800000"/>
            <wp:effectExtent l="0" t="0" r="2540" b="10160"/>
            <wp:docPr id="1221781894"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A844437" w14:textId="57FDFBC6" w:rsidR="003634C3" w:rsidRDefault="003634C3" w:rsidP="0061342D">
      <w:r w:rsidRPr="003634C3">
        <w:rPr>
          <w:noProof/>
        </w:rPr>
        <w:drawing>
          <wp:inline distT="0" distB="0" distL="0" distR="0" wp14:anchorId="45B0AD93" wp14:editId="1EDA01CD">
            <wp:extent cx="3960000" cy="1620000"/>
            <wp:effectExtent l="0" t="0" r="2540" b="18415"/>
            <wp:docPr id="1846660360" name="Diagramm 1">
              <a:extLst xmlns:a="http://schemas.openxmlformats.org/drawingml/2006/main">
                <a:ext uri="{FF2B5EF4-FFF2-40B4-BE49-F238E27FC236}">
                  <a16:creationId xmlns:a16="http://schemas.microsoft.com/office/drawing/2014/main" id="{4E310B08-0EBC-953B-48EE-AE16F4CBF8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2E73DE" w14:textId="7665629D" w:rsidR="006D3535" w:rsidRDefault="0084482E" w:rsidP="00280FD1">
      <w:pPr>
        <w:spacing w:after="120"/>
      </w:pPr>
      <w:r>
        <w:lastRenderedPageBreak/>
        <w:t>Die Erwartungen an die Geschäftsentwicklung</w:t>
      </w:r>
      <w:r w:rsidR="00110FFF" w:rsidRPr="00110FFF">
        <w:t xml:space="preserve"> für die kommenden 6 Monate </w:t>
      </w:r>
      <w:r>
        <w:t xml:space="preserve">fallen verhalten </w:t>
      </w:r>
      <w:r w:rsidR="00110FFF" w:rsidRPr="00110FFF">
        <w:t xml:space="preserve">aus. </w:t>
      </w:r>
      <w:r w:rsidR="009B5B86">
        <w:t>Gut</w:t>
      </w:r>
      <w:r w:rsidR="00110FFF" w:rsidRPr="00110FFF">
        <w:t xml:space="preserve"> die Hälfte</w:t>
      </w:r>
      <w:r w:rsidR="0061342D">
        <w:t xml:space="preserve"> der Unternehmen</w:t>
      </w:r>
      <w:r w:rsidR="00110FFF" w:rsidRPr="00110FFF">
        <w:t xml:space="preserve"> sieht zumindest eine fortgesetzt gleiche </w:t>
      </w:r>
      <w:r w:rsidR="00110FFF">
        <w:t xml:space="preserve">oder bessere </w:t>
      </w:r>
      <w:r w:rsidR="00110FFF" w:rsidRPr="00110FFF">
        <w:t xml:space="preserve">Geschäftsentwicklung, fast die Hälfte der Unternehmen erwartet </w:t>
      </w:r>
      <w:r w:rsidR="0061342D">
        <w:t xml:space="preserve">jedoch auch </w:t>
      </w:r>
      <w:r w:rsidR="00110FFF" w:rsidRPr="00110FFF">
        <w:t>eine noch schlechtere Entwicklung.</w:t>
      </w:r>
      <w:r w:rsidR="00827670">
        <w:t xml:space="preserve"> Gemessen an der vorjährigen Umfrage ist das sogar eine relative Verbesserung</w:t>
      </w:r>
      <w:r w:rsidR="00827670" w:rsidRPr="0061342D">
        <w:t>. Dies ist insbesondere auf die veränderte Beurteilung der Aussichten im Wohnungsbau</w:t>
      </w:r>
      <w:r w:rsidR="0061342D">
        <w:t xml:space="preserve"> zurückzuführen</w:t>
      </w:r>
      <w:r w:rsidR="0061342D" w:rsidRPr="0061342D">
        <w:t>.</w:t>
      </w:r>
      <w:r w:rsidR="00827670" w:rsidRPr="0061342D">
        <w:t xml:space="preserve"> </w:t>
      </w:r>
      <w:r w:rsidR="0061342D">
        <w:t xml:space="preserve">Haben im letzten Jahr noch 70 % der Unternehmen eine negative Erwartungshaltung für die kommenden Monate geäußert, sind es jetzt </w:t>
      </w:r>
      <w:r w:rsidR="00B91736">
        <w:t>„nur noch“ knapp</w:t>
      </w:r>
      <w:r w:rsidR="0061342D">
        <w:t xml:space="preserve"> 50 %</w:t>
      </w:r>
      <w:r w:rsidR="00B91736">
        <w:t xml:space="preserve"> der Unternehmen</w:t>
      </w:r>
      <w:r w:rsidR="0061342D">
        <w:t>. Während die Erwartungen hier im letzten Jahr noch vom Blick ins Tal gezeichnet waren, ist dieses jetzt offensichtlich erreicht. Die Datenlage stützt diese Sichtweise: Das Genehmigungsverlangen ist offensichtlich „unten angekommen“. Zuletzt wurden monatlich noch für ca. 17.000 WE Genehmigungen erteilt.</w:t>
      </w:r>
      <w:r w:rsidR="006D3535">
        <w:t xml:space="preserve"> (Frage 6)</w:t>
      </w:r>
    </w:p>
    <w:p w14:paraId="7C4B2D08" w14:textId="26272FD8" w:rsidR="00FE47E1" w:rsidRPr="00FE47E1" w:rsidRDefault="00FE47E1" w:rsidP="00280FD1">
      <w:pPr>
        <w:spacing w:after="60"/>
        <w:rPr>
          <w:color w:val="0197C6"/>
        </w:rPr>
      </w:pPr>
      <w:r w:rsidRPr="00FE47E1">
        <w:rPr>
          <w:color w:val="0197C6"/>
        </w:rPr>
        <w:t xml:space="preserve">Erwartungen </w:t>
      </w:r>
      <w:r w:rsidRPr="00FE47E1">
        <w:rPr>
          <w:b/>
          <w:bCs/>
          <w:color w:val="0197C6"/>
        </w:rPr>
        <w:t>Geschäftsentwicklung in folgenden 6 Monaten</w:t>
      </w:r>
    </w:p>
    <w:p w14:paraId="6F36E8F9" w14:textId="344990A1" w:rsidR="003634C3" w:rsidRDefault="003634C3" w:rsidP="006D3535">
      <w:r w:rsidRPr="003634C3">
        <w:rPr>
          <w:noProof/>
        </w:rPr>
        <w:drawing>
          <wp:inline distT="0" distB="0" distL="0" distR="0" wp14:anchorId="053E52B9" wp14:editId="27CA6218">
            <wp:extent cx="3960000" cy="1980000"/>
            <wp:effectExtent l="0" t="0" r="2540" b="1270"/>
            <wp:docPr id="1280675424"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E66F7E" w14:textId="7CEDFCBB" w:rsidR="003634C3" w:rsidRDefault="003634C3" w:rsidP="00280FD1">
      <w:pPr>
        <w:spacing w:after="60"/>
      </w:pPr>
      <w:r w:rsidRPr="003634C3">
        <w:rPr>
          <w:noProof/>
        </w:rPr>
        <w:drawing>
          <wp:inline distT="0" distB="0" distL="0" distR="0" wp14:anchorId="5105A026" wp14:editId="6C456AE3">
            <wp:extent cx="3960000" cy="1332000"/>
            <wp:effectExtent l="0" t="0" r="2540" b="1905"/>
            <wp:docPr id="611098765" name="Diagramm 1">
              <a:extLst xmlns:a="http://schemas.openxmlformats.org/drawingml/2006/main">
                <a:ext uri="{FF2B5EF4-FFF2-40B4-BE49-F238E27FC236}">
                  <a16:creationId xmlns:a16="http://schemas.microsoft.com/office/drawing/2014/main" id="{00000000-0008-0000-0000-00003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8F055F0" w14:textId="7761889C" w:rsidR="00370963" w:rsidRDefault="00370963" w:rsidP="00280FD1">
      <w:pPr>
        <w:spacing w:after="60"/>
      </w:pPr>
      <w:r>
        <w:t>Das schwierige Bild der Lagebeurteilung und der Erwartungen wird maßgeblich durch die Auftragslage gezeichnet</w:t>
      </w:r>
      <w:r w:rsidRPr="008354BA">
        <w:t>; (</w:t>
      </w:r>
      <w:r w:rsidRPr="008354BA">
        <w:rPr>
          <w:i/>
          <w:iCs/>
        </w:rPr>
        <w:t>Frage 7</w:t>
      </w:r>
      <w:r w:rsidRPr="008354BA">
        <w:t>).</w:t>
      </w:r>
      <w:r>
        <w:t xml:space="preserve"> Die Werte zu einer guten Beurteilung der </w:t>
      </w:r>
      <w:r w:rsidRPr="006D3535">
        <w:rPr>
          <w:i/>
          <w:iCs/>
        </w:rPr>
        <w:t>Auftragsbestände</w:t>
      </w:r>
      <w:r>
        <w:t xml:space="preserve"> haben gegenüber den vorherigen Meldungen </w:t>
      </w:r>
      <w:r w:rsidR="006D3535">
        <w:t>weiter</w:t>
      </w:r>
      <w:r>
        <w:t xml:space="preserve"> nachgegeben: Nur noch </w:t>
      </w:r>
      <w:r w:rsidR="006D3535">
        <w:t xml:space="preserve">ca. </w:t>
      </w:r>
      <w:r>
        <w:t>1</w:t>
      </w:r>
      <w:r w:rsidR="006D3535">
        <w:t>0</w:t>
      </w:r>
      <w:r>
        <w:t xml:space="preserve"> % der Unternehmen melden gute Bestände. Im Frühjahr 202</w:t>
      </w:r>
      <w:r w:rsidR="006D3535">
        <w:t>4</w:t>
      </w:r>
      <w:r>
        <w:t xml:space="preserve"> waren es noch </w:t>
      </w:r>
      <w:r w:rsidR="006D3535">
        <w:t>13</w:t>
      </w:r>
      <w:r>
        <w:t xml:space="preserve"> %</w:t>
      </w:r>
      <w:r w:rsidR="006D3535">
        <w:t xml:space="preserve"> </w:t>
      </w:r>
      <w:r>
        <w:t xml:space="preserve">der rückmeldenden Unternehmen. </w:t>
      </w:r>
      <w:r w:rsidR="008777BB">
        <w:t xml:space="preserve">Etwa zwei Drittel der </w:t>
      </w:r>
      <w:r w:rsidR="00355983">
        <w:t xml:space="preserve">in den </w:t>
      </w:r>
      <w:proofErr w:type="spellStart"/>
      <w:r w:rsidR="00355983">
        <w:t>hochbaulastigen</w:t>
      </w:r>
      <w:proofErr w:type="spellEnd"/>
      <w:r w:rsidR="00355983">
        <w:t xml:space="preserve"> Bausparten, </w:t>
      </w:r>
      <w:r w:rsidR="008777BB">
        <w:t>im Wohnungsbau und im Wirtschaftsbau</w:t>
      </w:r>
      <w:r w:rsidR="00355983">
        <w:t xml:space="preserve">, </w:t>
      </w:r>
      <w:r w:rsidR="008777BB">
        <w:t>tätigen Unternehmen melden zu kleine Auftragsbestände</w:t>
      </w:r>
      <w:r>
        <w:t xml:space="preserve">. </w:t>
      </w:r>
    </w:p>
    <w:p w14:paraId="03E7D2AE" w14:textId="4386EF5D" w:rsidR="00FE47E1" w:rsidRPr="00FE47E1" w:rsidRDefault="00FE47E1" w:rsidP="00370963">
      <w:pPr>
        <w:rPr>
          <w:color w:val="0197C6"/>
        </w:rPr>
      </w:pPr>
      <w:r w:rsidRPr="00FE47E1">
        <w:rPr>
          <w:color w:val="0197C6"/>
        </w:rPr>
        <w:t xml:space="preserve">Beurteilung </w:t>
      </w:r>
      <w:r w:rsidRPr="00FE47E1">
        <w:rPr>
          <w:b/>
          <w:bCs/>
          <w:color w:val="0197C6"/>
        </w:rPr>
        <w:t>Auftragsbestände</w:t>
      </w:r>
    </w:p>
    <w:p w14:paraId="3713E26D" w14:textId="4AB37617" w:rsidR="003634C3" w:rsidRDefault="003634C3" w:rsidP="00370963">
      <w:r w:rsidRPr="003634C3">
        <w:rPr>
          <w:noProof/>
        </w:rPr>
        <w:drawing>
          <wp:inline distT="0" distB="0" distL="0" distR="0" wp14:anchorId="61C6379B" wp14:editId="33B27750">
            <wp:extent cx="3940629" cy="1800000"/>
            <wp:effectExtent l="0" t="0" r="3175" b="10160"/>
            <wp:docPr id="1148383417"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A68AD3E" w14:textId="04101752" w:rsidR="002243F4" w:rsidRDefault="002243F4" w:rsidP="00370963">
      <w:pPr>
        <w:rPr>
          <w:b/>
          <w:iCs/>
        </w:rPr>
      </w:pPr>
      <w:r>
        <w:lastRenderedPageBreak/>
        <w:t>Besonders schlecht fallen die Urteile zum öffentlichen Hochbau aus, wo 75 % der Unternehmen über zu geringe Auftragsbestände klagen. Im Tiefbau und im Ausbau meldet gut die Hälfte der Unternehmen, über gute oder zumindest ausreichende Auftragsbestände zu verfügen.</w:t>
      </w:r>
    </w:p>
    <w:p w14:paraId="071D7F14" w14:textId="74D92B8D" w:rsidR="00370963" w:rsidRDefault="00370963" w:rsidP="00370963">
      <w:r>
        <w:rPr>
          <w:b/>
          <w:iCs/>
        </w:rPr>
        <w:t>Nachfragesituation und Geräteauslastung (Fragen 8-9)</w:t>
      </w:r>
    </w:p>
    <w:p w14:paraId="11A0E029" w14:textId="2445BF5E" w:rsidR="00370963" w:rsidRDefault="00F67A52" w:rsidP="00370963">
      <w:r>
        <w:t>D</w:t>
      </w:r>
      <w:r w:rsidR="00370963">
        <w:t xml:space="preserve">ie </w:t>
      </w:r>
      <w:r w:rsidR="00370963" w:rsidRPr="00BE5458">
        <w:rPr>
          <w:i/>
          <w:iCs/>
        </w:rPr>
        <w:t>Reichweite der Auftragsbestände</w:t>
      </w:r>
      <w:r>
        <w:rPr>
          <w:i/>
          <w:iCs/>
        </w:rPr>
        <w:t xml:space="preserve"> </w:t>
      </w:r>
      <w:r>
        <w:t>hat sich in den Hochbausparten auf niedrigem Niveau bei 11 bis 13 Wochen stabilisiert</w:t>
      </w:r>
      <w:r w:rsidR="00370963">
        <w:t xml:space="preserve">; </w:t>
      </w:r>
      <w:r w:rsidR="00370963" w:rsidRPr="008354BA">
        <w:rPr>
          <w:i/>
          <w:iCs/>
        </w:rPr>
        <w:t>(Frage 8</w:t>
      </w:r>
      <w:r w:rsidR="00370963" w:rsidRPr="008354BA">
        <w:t>).</w:t>
      </w:r>
      <w:r w:rsidR="00370963">
        <w:t xml:space="preserve"> </w:t>
      </w:r>
      <w:r w:rsidR="00187EB4">
        <w:t>Im Tiefbau halten die Reichweiten im Vergleich zum Vorjahr bei</w:t>
      </w:r>
      <w:r>
        <w:t xml:space="preserve"> 13 bis 14 Wochen</w:t>
      </w:r>
      <w:r w:rsidR="00863BC9">
        <w:t xml:space="preserve">, </w:t>
      </w:r>
      <w:r w:rsidR="00187EB4">
        <w:t>ebenso wie im Ausbau</w:t>
      </w:r>
      <w:r w:rsidR="00863BC9">
        <w:t>.</w:t>
      </w:r>
      <w:r w:rsidR="008F57A9">
        <w:t xml:space="preserve"> </w:t>
      </w:r>
    </w:p>
    <w:p w14:paraId="2F4819A0" w14:textId="22614BA1" w:rsidR="00102916" w:rsidRPr="00102916" w:rsidRDefault="00102916" w:rsidP="00102916">
      <w:pPr>
        <w:tabs>
          <w:tab w:val="left" w:pos="709"/>
        </w:tabs>
        <w:rPr>
          <w:color w:val="0197C6"/>
        </w:rPr>
      </w:pPr>
      <w:r>
        <w:rPr>
          <w:b/>
          <w:bCs/>
          <w:color w:val="0197C6"/>
        </w:rPr>
        <w:tab/>
      </w:r>
      <w:r w:rsidRPr="00102916">
        <w:rPr>
          <w:b/>
          <w:bCs/>
          <w:color w:val="0197C6"/>
        </w:rPr>
        <w:t>Reichweite</w:t>
      </w:r>
      <w:r w:rsidRPr="00102916">
        <w:rPr>
          <w:color w:val="0197C6"/>
        </w:rPr>
        <w:t xml:space="preserve"> der </w:t>
      </w:r>
      <w:r w:rsidRPr="00102916">
        <w:rPr>
          <w:b/>
          <w:bCs/>
          <w:color w:val="0197C6"/>
        </w:rPr>
        <w:t>Aufträge</w:t>
      </w:r>
    </w:p>
    <w:tbl>
      <w:tblPr>
        <w:tblW w:w="4842" w:type="dxa"/>
        <w:tblInd w:w="664" w:type="dxa"/>
        <w:tblLayout w:type="fixed"/>
        <w:tblCellMar>
          <w:left w:w="0" w:type="dxa"/>
          <w:right w:w="0" w:type="dxa"/>
        </w:tblCellMar>
        <w:tblLook w:val="0420" w:firstRow="1" w:lastRow="0" w:firstColumn="0" w:lastColumn="0" w:noHBand="0" w:noVBand="1"/>
      </w:tblPr>
      <w:tblGrid>
        <w:gridCol w:w="1639"/>
        <w:gridCol w:w="1037"/>
        <w:gridCol w:w="1131"/>
        <w:gridCol w:w="1035"/>
      </w:tblGrid>
      <w:tr w:rsidR="003634C3" w:rsidRPr="003634C3" w14:paraId="04A41335" w14:textId="77777777" w:rsidTr="00102916">
        <w:trPr>
          <w:trHeight w:val="318"/>
        </w:trPr>
        <w:tc>
          <w:tcPr>
            <w:tcW w:w="1639" w:type="dxa"/>
            <w:tcBorders>
              <w:top w:val="single" w:sz="8" w:space="0" w:color="FFFFFF"/>
              <w:left w:val="single" w:sz="8" w:space="0" w:color="FFFFFF"/>
              <w:bottom w:val="single" w:sz="24" w:space="0" w:color="FFFFFF"/>
              <w:right w:val="single" w:sz="8" w:space="0" w:color="FFFFFF"/>
            </w:tcBorders>
            <w:shd w:val="clear" w:color="auto" w:fill="0197C6"/>
            <w:tcMar>
              <w:top w:w="10" w:type="dxa"/>
              <w:left w:w="10" w:type="dxa"/>
              <w:bottom w:w="0" w:type="dxa"/>
              <w:right w:w="10" w:type="dxa"/>
            </w:tcMar>
            <w:vAlign w:val="bottom"/>
            <w:hideMark/>
          </w:tcPr>
          <w:p w14:paraId="5869CADC" w14:textId="77777777" w:rsidR="003634C3" w:rsidRPr="003634C3" w:rsidRDefault="003634C3" w:rsidP="003634C3">
            <w:pPr>
              <w:rPr>
                <w:i/>
                <w:iCs/>
                <w:sz w:val="18"/>
                <w:szCs w:val="18"/>
              </w:rPr>
            </w:pPr>
          </w:p>
        </w:tc>
        <w:tc>
          <w:tcPr>
            <w:tcW w:w="1037" w:type="dxa"/>
            <w:tcBorders>
              <w:top w:val="single" w:sz="8" w:space="0" w:color="FFFFFF"/>
              <w:left w:val="single" w:sz="8" w:space="0" w:color="FFFFFF"/>
              <w:bottom w:val="single" w:sz="24" w:space="0" w:color="FFFFFF"/>
              <w:right w:val="single" w:sz="8" w:space="0" w:color="FFFFFF"/>
            </w:tcBorders>
            <w:shd w:val="clear" w:color="auto" w:fill="0197C6"/>
            <w:tcMar>
              <w:top w:w="10" w:type="dxa"/>
              <w:left w:w="10" w:type="dxa"/>
              <w:bottom w:w="0" w:type="dxa"/>
              <w:right w:w="10" w:type="dxa"/>
            </w:tcMar>
            <w:vAlign w:val="center"/>
            <w:hideMark/>
          </w:tcPr>
          <w:p w14:paraId="6D983E66" w14:textId="77777777" w:rsidR="003634C3" w:rsidRPr="003634C3" w:rsidRDefault="003634C3" w:rsidP="003634C3">
            <w:pPr>
              <w:rPr>
                <w:color w:val="FFFFFF" w:themeColor="background1"/>
                <w:sz w:val="18"/>
                <w:szCs w:val="18"/>
              </w:rPr>
            </w:pPr>
            <w:r w:rsidRPr="003634C3">
              <w:rPr>
                <w:b/>
                <w:bCs/>
                <w:color w:val="FFFFFF" w:themeColor="background1"/>
                <w:sz w:val="18"/>
                <w:szCs w:val="18"/>
              </w:rPr>
              <w:t>Herbst 2023</w:t>
            </w:r>
          </w:p>
        </w:tc>
        <w:tc>
          <w:tcPr>
            <w:tcW w:w="1131" w:type="dxa"/>
            <w:tcBorders>
              <w:top w:val="single" w:sz="8" w:space="0" w:color="FFFFFF"/>
              <w:left w:val="single" w:sz="8" w:space="0" w:color="FFFFFF"/>
              <w:bottom w:val="single" w:sz="24" w:space="0" w:color="FFFFFF"/>
              <w:right w:val="single" w:sz="8" w:space="0" w:color="FFFFFF"/>
            </w:tcBorders>
            <w:shd w:val="clear" w:color="auto" w:fill="0197C6"/>
            <w:tcMar>
              <w:top w:w="10" w:type="dxa"/>
              <w:left w:w="10" w:type="dxa"/>
              <w:bottom w:w="0" w:type="dxa"/>
              <w:right w:w="10" w:type="dxa"/>
            </w:tcMar>
            <w:vAlign w:val="center"/>
            <w:hideMark/>
          </w:tcPr>
          <w:p w14:paraId="049EBF27" w14:textId="77777777" w:rsidR="003634C3" w:rsidRPr="003634C3" w:rsidRDefault="003634C3" w:rsidP="003634C3">
            <w:pPr>
              <w:rPr>
                <w:color w:val="FFFFFF" w:themeColor="background1"/>
                <w:sz w:val="18"/>
                <w:szCs w:val="18"/>
              </w:rPr>
            </w:pPr>
            <w:r w:rsidRPr="003634C3">
              <w:rPr>
                <w:b/>
                <w:bCs/>
                <w:color w:val="FFFFFF" w:themeColor="background1"/>
                <w:sz w:val="18"/>
                <w:szCs w:val="18"/>
              </w:rPr>
              <w:t>Frühjahr 2024</w:t>
            </w:r>
          </w:p>
        </w:tc>
        <w:tc>
          <w:tcPr>
            <w:tcW w:w="1035" w:type="dxa"/>
            <w:tcBorders>
              <w:top w:val="single" w:sz="8" w:space="0" w:color="FFFFFF"/>
              <w:left w:val="single" w:sz="8" w:space="0" w:color="FFFFFF"/>
              <w:bottom w:val="single" w:sz="24" w:space="0" w:color="FFFFFF"/>
              <w:right w:val="single" w:sz="8" w:space="0" w:color="FFFFFF"/>
            </w:tcBorders>
            <w:shd w:val="clear" w:color="auto" w:fill="0197C6"/>
            <w:tcMar>
              <w:top w:w="10" w:type="dxa"/>
              <w:left w:w="10" w:type="dxa"/>
              <w:bottom w:w="0" w:type="dxa"/>
              <w:right w:w="10" w:type="dxa"/>
            </w:tcMar>
            <w:vAlign w:val="center"/>
            <w:hideMark/>
          </w:tcPr>
          <w:p w14:paraId="5917E474" w14:textId="77777777" w:rsidR="003634C3" w:rsidRPr="003634C3" w:rsidRDefault="003634C3" w:rsidP="003634C3">
            <w:pPr>
              <w:rPr>
                <w:color w:val="FFFFFF" w:themeColor="background1"/>
                <w:sz w:val="18"/>
                <w:szCs w:val="18"/>
              </w:rPr>
            </w:pPr>
            <w:r w:rsidRPr="003634C3">
              <w:rPr>
                <w:b/>
                <w:bCs/>
                <w:color w:val="FFFFFF" w:themeColor="background1"/>
                <w:sz w:val="18"/>
                <w:szCs w:val="18"/>
              </w:rPr>
              <w:t>Herbst 2024</w:t>
            </w:r>
          </w:p>
        </w:tc>
      </w:tr>
      <w:tr w:rsidR="003634C3" w:rsidRPr="003634C3" w14:paraId="65C53139" w14:textId="77777777" w:rsidTr="00102916">
        <w:trPr>
          <w:trHeight w:val="270"/>
        </w:trPr>
        <w:tc>
          <w:tcPr>
            <w:tcW w:w="1639" w:type="dxa"/>
            <w:tcBorders>
              <w:top w:val="single" w:sz="24" w:space="0" w:color="FFFFFF"/>
              <w:left w:val="single" w:sz="8" w:space="0" w:color="FFFFFF"/>
              <w:bottom w:val="single" w:sz="8" w:space="0" w:color="FFFFFF"/>
              <w:right w:val="single" w:sz="8" w:space="0" w:color="FFFFFF"/>
            </w:tcBorders>
            <w:shd w:val="clear" w:color="auto" w:fill="DBEEF4"/>
            <w:tcMar>
              <w:top w:w="10" w:type="dxa"/>
              <w:left w:w="10" w:type="dxa"/>
              <w:bottom w:w="0" w:type="dxa"/>
              <w:right w:w="10" w:type="dxa"/>
            </w:tcMar>
            <w:vAlign w:val="bottom"/>
            <w:hideMark/>
          </w:tcPr>
          <w:p w14:paraId="25817C4C" w14:textId="59BEA555" w:rsidR="003634C3" w:rsidRPr="003634C3" w:rsidRDefault="003634C3" w:rsidP="003634C3">
            <w:pPr>
              <w:rPr>
                <w:i/>
                <w:iCs/>
                <w:sz w:val="18"/>
                <w:szCs w:val="18"/>
              </w:rPr>
            </w:pPr>
            <w:r w:rsidRPr="003634C3">
              <w:rPr>
                <w:i/>
                <w:iCs/>
                <w:sz w:val="18"/>
                <w:szCs w:val="18"/>
              </w:rPr>
              <w:t>Ø in Wochen</w:t>
            </w:r>
          </w:p>
        </w:tc>
        <w:tc>
          <w:tcPr>
            <w:tcW w:w="1037" w:type="dxa"/>
            <w:tcBorders>
              <w:top w:val="single" w:sz="24" w:space="0" w:color="FFFFFF"/>
              <w:left w:val="single" w:sz="8" w:space="0" w:color="FFFFFF"/>
              <w:bottom w:val="single" w:sz="8" w:space="0" w:color="FFFFFF"/>
              <w:right w:val="single" w:sz="8" w:space="0" w:color="FFFFFF"/>
            </w:tcBorders>
            <w:shd w:val="clear" w:color="auto" w:fill="DBEEF4"/>
            <w:tcMar>
              <w:top w:w="10" w:type="dxa"/>
              <w:left w:w="10" w:type="dxa"/>
              <w:bottom w:w="0" w:type="dxa"/>
              <w:right w:w="10" w:type="dxa"/>
            </w:tcMar>
            <w:vAlign w:val="center"/>
          </w:tcPr>
          <w:p w14:paraId="738A313E" w14:textId="1E205737" w:rsidR="003634C3" w:rsidRPr="003634C3" w:rsidRDefault="003634C3" w:rsidP="003634C3">
            <w:pPr>
              <w:rPr>
                <w:sz w:val="18"/>
                <w:szCs w:val="18"/>
              </w:rPr>
            </w:pPr>
          </w:p>
        </w:tc>
        <w:tc>
          <w:tcPr>
            <w:tcW w:w="1131" w:type="dxa"/>
            <w:tcBorders>
              <w:top w:val="single" w:sz="24" w:space="0" w:color="FFFFFF"/>
              <w:left w:val="single" w:sz="8" w:space="0" w:color="FFFFFF"/>
              <w:bottom w:val="single" w:sz="8" w:space="0" w:color="FFFFFF"/>
              <w:right w:val="single" w:sz="8" w:space="0" w:color="FFFFFF"/>
            </w:tcBorders>
            <w:shd w:val="clear" w:color="auto" w:fill="DBEEF4"/>
            <w:tcMar>
              <w:top w:w="10" w:type="dxa"/>
              <w:left w:w="10" w:type="dxa"/>
              <w:bottom w:w="0" w:type="dxa"/>
              <w:right w:w="10" w:type="dxa"/>
            </w:tcMar>
            <w:vAlign w:val="center"/>
          </w:tcPr>
          <w:p w14:paraId="17901C39" w14:textId="11BF8971" w:rsidR="003634C3" w:rsidRPr="003634C3" w:rsidRDefault="003634C3" w:rsidP="003634C3">
            <w:pPr>
              <w:rPr>
                <w:sz w:val="18"/>
                <w:szCs w:val="18"/>
              </w:rPr>
            </w:pPr>
          </w:p>
        </w:tc>
        <w:tc>
          <w:tcPr>
            <w:tcW w:w="1035" w:type="dxa"/>
            <w:tcBorders>
              <w:top w:val="single" w:sz="24" w:space="0" w:color="FFFFFF"/>
              <w:left w:val="single" w:sz="8" w:space="0" w:color="FFFFFF"/>
              <w:bottom w:val="single" w:sz="8" w:space="0" w:color="FFFFFF"/>
              <w:right w:val="single" w:sz="8" w:space="0" w:color="FFFFFF"/>
            </w:tcBorders>
            <w:shd w:val="clear" w:color="auto" w:fill="DBEEF4"/>
            <w:tcMar>
              <w:top w:w="10" w:type="dxa"/>
              <w:left w:w="10" w:type="dxa"/>
              <w:bottom w:w="0" w:type="dxa"/>
              <w:right w:w="10" w:type="dxa"/>
            </w:tcMar>
            <w:vAlign w:val="center"/>
          </w:tcPr>
          <w:p w14:paraId="0E978490" w14:textId="01D98B3E" w:rsidR="003634C3" w:rsidRPr="003634C3" w:rsidRDefault="003634C3" w:rsidP="003634C3">
            <w:pPr>
              <w:rPr>
                <w:sz w:val="18"/>
                <w:szCs w:val="18"/>
              </w:rPr>
            </w:pPr>
          </w:p>
        </w:tc>
      </w:tr>
      <w:tr w:rsidR="003634C3" w:rsidRPr="003634C3" w14:paraId="79D5CD33" w14:textId="77777777" w:rsidTr="00102916">
        <w:trPr>
          <w:trHeight w:val="274"/>
        </w:trPr>
        <w:tc>
          <w:tcPr>
            <w:tcW w:w="1639" w:type="dxa"/>
            <w:tcBorders>
              <w:top w:val="single" w:sz="8" w:space="0" w:color="FFFFFF"/>
              <w:left w:val="single" w:sz="8" w:space="0" w:color="FFFFFF"/>
              <w:bottom w:val="single" w:sz="8" w:space="0" w:color="FFFFFF"/>
              <w:right w:val="single" w:sz="8" w:space="0" w:color="FFFFFF"/>
            </w:tcBorders>
            <w:shd w:val="clear" w:color="auto" w:fill="FFFFFF"/>
            <w:tcMar>
              <w:top w:w="10" w:type="dxa"/>
              <w:left w:w="10" w:type="dxa"/>
              <w:bottom w:w="0" w:type="dxa"/>
              <w:right w:w="10" w:type="dxa"/>
            </w:tcMar>
            <w:vAlign w:val="center"/>
            <w:hideMark/>
          </w:tcPr>
          <w:p w14:paraId="58FE384A" w14:textId="77777777" w:rsidR="003634C3" w:rsidRPr="003634C3" w:rsidRDefault="003634C3" w:rsidP="003634C3">
            <w:pPr>
              <w:rPr>
                <w:sz w:val="18"/>
                <w:szCs w:val="18"/>
              </w:rPr>
            </w:pPr>
            <w:r w:rsidRPr="003634C3">
              <w:rPr>
                <w:sz w:val="18"/>
                <w:szCs w:val="18"/>
              </w:rPr>
              <w:t>Wohnungsbau</w:t>
            </w:r>
          </w:p>
        </w:tc>
        <w:tc>
          <w:tcPr>
            <w:tcW w:w="1037" w:type="dxa"/>
            <w:tcBorders>
              <w:top w:val="single" w:sz="8" w:space="0" w:color="FFFFFF"/>
              <w:left w:val="single" w:sz="8" w:space="0" w:color="FFFFFF"/>
              <w:bottom w:val="single" w:sz="8" w:space="0" w:color="FFFFFF"/>
              <w:right w:val="single" w:sz="8" w:space="0" w:color="FFFFFF"/>
            </w:tcBorders>
            <w:shd w:val="clear" w:color="auto" w:fill="FFFFFF"/>
            <w:tcMar>
              <w:top w:w="10" w:type="dxa"/>
              <w:left w:w="10" w:type="dxa"/>
              <w:bottom w:w="0" w:type="dxa"/>
              <w:right w:w="10" w:type="dxa"/>
            </w:tcMar>
            <w:vAlign w:val="center"/>
            <w:hideMark/>
          </w:tcPr>
          <w:p w14:paraId="2BC24DE5" w14:textId="77777777" w:rsidR="003634C3" w:rsidRPr="003634C3" w:rsidRDefault="003634C3" w:rsidP="003634C3">
            <w:pPr>
              <w:jc w:val="center"/>
              <w:rPr>
                <w:sz w:val="18"/>
                <w:szCs w:val="18"/>
              </w:rPr>
            </w:pPr>
            <w:r w:rsidRPr="003634C3">
              <w:rPr>
                <w:sz w:val="18"/>
                <w:szCs w:val="18"/>
              </w:rPr>
              <w:t>12</w:t>
            </w:r>
          </w:p>
        </w:tc>
        <w:tc>
          <w:tcPr>
            <w:tcW w:w="1131" w:type="dxa"/>
            <w:tcBorders>
              <w:top w:val="single" w:sz="8" w:space="0" w:color="FFFFFF"/>
              <w:left w:val="single" w:sz="8" w:space="0" w:color="FFFFFF"/>
              <w:bottom w:val="single" w:sz="8" w:space="0" w:color="FFFFFF"/>
              <w:right w:val="single" w:sz="8" w:space="0" w:color="FFFFFF"/>
            </w:tcBorders>
            <w:shd w:val="clear" w:color="auto" w:fill="FFFFFF"/>
            <w:tcMar>
              <w:top w:w="10" w:type="dxa"/>
              <w:left w:w="10" w:type="dxa"/>
              <w:bottom w:w="0" w:type="dxa"/>
              <w:right w:w="10" w:type="dxa"/>
            </w:tcMar>
            <w:vAlign w:val="center"/>
            <w:hideMark/>
          </w:tcPr>
          <w:p w14:paraId="583309F4" w14:textId="77777777" w:rsidR="003634C3" w:rsidRPr="003634C3" w:rsidRDefault="003634C3" w:rsidP="003634C3">
            <w:pPr>
              <w:jc w:val="center"/>
              <w:rPr>
                <w:sz w:val="18"/>
                <w:szCs w:val="18"/>
              </w:rPr>
            </w:pPr>
            <w:r w:rsidRPr="003634C3">
              <w:rPr>
                <w:sz w:val="18"/>
                <w:szCs w:val="18"/>
              </w:rPr>
              <w:t>13</w:t>
            </w:r>
          </w:p>
        </w:tc>
        <w:tc>
          <w:tcPr>
            <w:tcW w:w="1035" w:type="dxa"/>
            <w:tcBorders>
              <w:top w:val="single" w:sz="8" w:space="0" w:color="FFFFFF"/>
              <w:left w:val="single" w:sz="8" w:space="0" w:color="FFFFFF"/>
              <w:bottom w:val="single" w:sz="8" w:space="0" w:color="FFFFFF"/>
              <w:right w:val="single" w:sz="8" w:space="0" w:color="FFFFFF"/>
            </w:tcBorders>
            <w:shd w:val="clear" w:color="auto" w:fill="FFFFFF"/>
            <w:tcMar>
              <w:top w:w="10" w:type="dxa"/>
              <w:left w:w="10" w:type="dxa"/>
              <w:bottom w:w="0" w:type="dxa"/>
              <w:right w:w="10" w:type="dxa"/>
            </w:tcMar>
            <w:vAlign w:val="center"/>
            <w:hideMark/>
          </w:tcPr>
          <w:p w14:paraId="3911C596" w14:textId="77777777" w:rsidR="003634C3" w:rsidRPr="003634C3" w:rsidRDefault="003634C3" w:rsidP="003634C3">
            <w:pPr>
              <w:jc w:val="center"/>
              <w:rPr>
                <w:sz w:val="18"/>
                <w:szCs w:val="18"/>
              </w:rPr>
            </w:pPr>
            <w:r w:rsidRPr="003634C3">
              <w:rPr>
                <w:sz w:val="18"/>
                <w:szCs w:val="18"/>
              </w:rPr>
              <w:t>13</w:t>
            </w:r>
          </w:p>
        </w:tc>
      </w:tr>
      <w:tr w:rsidR="003634C3" w:rsidRPr="003634C3" w14:paraId="20F74891" w14:textId="77777777" w:rsidTr="003634C3">
        <w:trPr>
          <w:trHeight w:val="139"/>
        </w:trPr>
        <w:tc>
          <w:tcPr>
            <w:tcW w:w="1639" w:type="dxa"/>
            <w:tcBorders>
              <w:top w:val="single" w:sz="8" w:space="0" w:color="FFFFFF"/>
              <w:left w:val="single" w:sz="8" w:space="0" w:color="FFFFFF"/>
              <w:bottom w:val="single" w:sz="8" w:space="0" w:color="FFFFFF"/>
              <w:right w:val="single" w:sz="8" w:space="0" w:color="FFFFFF"/>
            </w:tcBorders>
            <w:shd w:val="clear" w:color="auto" w:fill="DBEEF4"/>
            <w:tcMar>
              <w:top w:w="10" w:type="dxa"/>
              <w:left w:w="10" w:type="dxa"/>
              <w:bottom w:w="0" w:type="dxa"/>
              <w:right w:w="10" w:type="dxa"/>
            </w:tcMar>
            <w:vAlign w:val="center"/>
            <w:hideMark/>
          </w:tcPr>
          <w:p w14:paraId="1A2E2932" w14:textId="77777777" w:rsidR="003634C3" w:rsidRPr="003634C3" w:rsidRDefault="003634C3" w:rsidP="003634C3">
            <w:pPr>
              <w:rPr>
                <w:sz w:val="18"/>
                <w:szCs w:val="18"/>
              </w:rPr>
            </w:pPr>
            <w:r w:rsidRPr="003634C3">
              <w:rPr>
                <w:sz w:val="18"/>
                <w:szCs w:val="18"/>
              </w:rPr>
              <w:t>Wirtschaftsbau</w:t>
            </w:r>
          </w:p>
        </w:tc>
        <w:tc>
          <w:tcPr>
            <w:tcW w:w="1037" w:type="dxa"/>
            <w:tcBorders>
              <w:top w:val="single" w:sz="8" w:space="0" w:color="FFFFFF"/>
              <w:left w:val="single" w:sz="8" w:space="0" w:color="FFFFFF"/>
              <w:bottom w:val="single" w:sz="8" w:space="0" w:color="FFFFFF"/>
              <w:right w:val="single" w:sz="8" w:space="0" w:color="FFFFFF"/>
            </w:tcBorders>
            <w:shd w:val="clear" w:color="auto" w:fill="DBEEF4"/>
            <w:tcMar>
              <w:top w:w="10" w:type="dxa"/>
              <w:left w:w="10" w:type="dxa"/>
              <w:bottom w:w="0" w:type="dxa"/>
              <w:right w:w="10" w:type="dxa"/>
            </w:tcMar>
            <w:vAlign w:val="center"/>
            <w:hideMark/>
          </w:tcPr>
          <w:p w14:paraId="77EF2CD1" w14:textId="77777777" w:rsidR="003634C3" w:rsidRPr="003634C3" w:rsidRDefault="003634C3" w:rsidP="003634C3">
            <w:pPr>
              <w:jc w:val="center"/>
              <w:rPr>
                <w:sz w:val="18"/>
                <w:szCs w:val="18"/>
              </w:rPr>
            </w:pPr>
            <w:r w:rsidRPr="003634C3">
              <w:rPr>
                <w:sz w:val="18"/>
                <w:szCs w:val="18"/>
              </w:rPr>
              <w:t>11</w:t>
            </w:r>
          </w:p>
        </w:tc>
        <w:tc>
          <w:tcPr>
            <w:tcW w:w="1131" w:type="dxa"/>
            <w:tcBorders>
              <w:top w:val="single" w:sz="8" w:space="0" w:color="FFFFFF"/>
              <w:left w:val="single" w:sz="8" w:space="0" w:color="FFFFFF"/>
              <w:bottom w:val="single" w:sz="8" w:space="0" w:color="FFFFFF"/>
              <w:right w:val="single" w:sz="8" w:space="0" w:color="FFFFFF"/>
            </w:tcBorders>
            <w:shd w:val="clear" w:color="auto" w:fill="DBEEF4"/>
            <w:tcMar>
              <w:top w:w="10" w:type="dxa"/>
              <w:left w:w="10" w:type="dxa"/>
              <w:bottom w:w="0" w:type="dxa"/>
              <w:right w:w="10" w:type="dxa"/>
            </w:tcMar>
            <w:vAlign w:val="center"/>
            <w:hideMark/>
          </w:tcPr>
          <w:p w14:paraId="2D973CF9" w14:textId="77777777" w:rsidR="003634C3" w:rsidRPr="003634C3" w:rsidRDefault="003634C3" w:rsidP="003634C3">
            <w:pPr>
              <w:jc w:val="center"/>
              <w:rPr>
                <w:sz w:val="18"/>
                <w:szCs w:val="18"/>
              </w:rPr>
            </w:pPr>
            <w:r w:rsidRPr="003634C3">
              <w:rPr>
                <w:sz w:val="18"/>
                <w:szCs w:val="18"/>
              </w:rPr>
              <w:t>13</w:t>
            </w:r>
          </w:p>
        </w:tc>
        <w:tc>
          <w:tcPr>
            <w:tcW w:w="1035" w:type="dxa"/>
            <w:tcBorders>
              <w:top w:val="single" w:sz="8" w:space="0" w:color="FFFFFF"/>
              <w:left w:val="single" w:sz="8" w:space="0" w:color="FFFFFF"/>
              <w:bottom w:val="single" w:sz="8" w:space="0" w:color="FFFFFF"/>
              <w:right w:val="single" w:sz="8" w:space="0" w:color="FFFFFF"/>
            </w:tcBorders>
            <w:shd w:val="clear" w:color="auto" w:fill="DBEEF4"/>
            <w:tcMar>
              <w:top w:w="10" w:type="dxa"/>
              <w:left w:w="10" w:type="dxa"/>
              <w:bottom w:w="0" w:type="dxa"/>
              <w:right w:w="10" w:type="dxa"/>
            </w:tcMar>
            <w:vAlign w:val="center"/>
            <w:hideMark/>
          </w:tcPr>
          <w:p w14:paraId="1E0AD76E" w14:textId="77777777" w:rsidR="003634C3" w:rsidRPr="003634C3" w:rsidRDefault="003634C3" w:rsidP="003634C3">
            <w:pPr>
              <w:jc w:val="center"/>
              <w:rPr>
                <w:sz w:val="18"/>
                <w:szCs w:val="18"/>
              </w:rPr>
            </w:pPr>
            <w:r w:rsidRPr="003634C3">
              <w:rPr>
                <w:sz w:val="18"/>
                <w:szCs w:val="18"/>
              </w:rPr>
              <w:t>12</w:t>
            </w:r>
          </w:p>
        </w:tc>
      </w:tr>
      <w:tr w:rsidR="003634C3" w:rsidRPr="003634C3" w14:paraId="7319962E" w14:textId="77777777" w:rsidTr="003634C3">
        <w:trPr>
          <w:trHeight w:val="264"/>
        </w:trPr>
        <w:tc>
          <w:tcPr>
            <w:tcW w:w="1639" w:type="dxa"/>
            <w:tcBorders>
              <w:top w:val="single" w:sz="8" w:space="0" w:color="FFFFFF"/>
              <w:left w:val="single" w:sz="8" w:space="0" w:color="FFFFFF"/>
              <w:bottom w:val="single" w:sz="8" w:space="0" w:color="FFFFFF"/>
              <w:right w:val="single" w:sz="8" w:space="0" w:color="FFFFFF"/>
            </w:tcBorders>
            <w:shd w:val="clear" w:color="auto" w:fill="FFFFFF"/>
            <w:tcMar>
              <w:top w:w="10" w:type="dxa"/>
              <w:left w:w="10" w:type="dxa"/>
              <w:bottom w:w="0" w:type="dxa"/>
              <w:right w:w="10" w:type="dxa"/>
            </w:tcMar>
            <w:vAlign w:val="center"/>
            <w:hideMark/>
          </w:tcPr>
          <w:p w14:paraId="49A79F98" w14:textId="77777777" w:rsidR="003634C3" w:rsidRPr="003634C3" w:rsidRDefault="003634C3" w:rsidP="003634C3">
            <w:pPr>
              <w:rPr>
                <w:sz w:val="18"/>
                <w:szCs w:val="18"/>
              </w:rPr>
            </w:pPr>
            <w:r w:rsidRPr="003634C3">
              <w:rPr>
                <w:sz w:val="18"/>
                <w:szCs w:val="18"/>
              </w:rPr>
              <w:t>öffentlicher Hochbau</w:t>
            </w:r>
          </w:p>
        </w:tc>
        <w:tc>
          <w:tcPr>
            <w:tcW w:w="1037" w:type="dxa"/>
            <w:tcBorders>
              <w:top w:val="single" w:sz="8" w:space="0" w:color="FFFFFF"/>
              <w:left w:val="single" w:sz="8" w:space="0" w:color="FFFFFF"/>
              <w:bottom w:val="single" w:sz="8" w:space="0" w:color="FFFFFF"/>
              <w:right w:val="single" w:sz="8" w:space="0" w:color="FFFFFF"/>
            </w:tcBorders>
            <w:shd w:val="clear" w:color="auto" w:fill="FFFFFF"/>
            <w:tcMar>
              <w:top w:w="10" w:type="dxa"/>
              <w:left w:w="10" w:type="dxa"/>
              <w:bottom w:w="0" w:type="dxa"/>
              <w:right w:w="10" w:type="dxa"/>
            </w:tcMar>
            <w:vAlign w:val="center"/>
            <w:hideMark/>
          </w:tcPr>
          <w:p w14:paraId="3EA2578C" w14:textId="77777777" w:rsidR="003634C3" w:rsidRPr="003634C3" w:rsidRDefault="003634C3" w:rsidP="003634C3">
            <w:pPr>
              <w:jc w:val="center"/>
              <w:rPr>
                <w:sz w:val="18"/>
                <w:szCs w:val="18"/>
              </w:rPr>
            </w:pPr>
            <w:r w:rsidRPr="003634C3">
              <w:rPr>
                <w:sz w:val="18"/>
                <w:szCs w:val="18"/>
              </w:rPr>
              <w:t>10</w:t>
            </w:r>
          </w:p>
        </w:tc>
        <w:tc>
          <w:tcPr>
            <w:tcW w:w="1131" w:type="dxa"/>
            <w:tcBorders>
              <w:top w:val="single" w:sz="8" w:space="0" w:color="FFFFFF"/>
              <w:left w:val="single" w:sz="8" w:space="0" w:color="FFFFFF"/>
              <w:bottom w:val="single" w:sz="8" w:space="0" w:color="FFFFFF"/>
              <w:right w:val="single" w:sz="8" w:space="0" w:color="FFFFFF"/>
            </w:tcBorders>
            <w:shd w:val="clear" w:color="auto" w:fill="FFFFFF"/>
            <w:tcMar>
              <w:top w:w="10" w:type="dxa"/>
              <w:left w:w="10" w:type="dxa"/>
              <w:bottom w:w="0" w:type="dxa"/>
              <w:right w:w="10" w:type="dxa"/>
            </w:tcMar>
            <w:vAlign w:val="center"/>
            <w:hideMark/>
          </w:tcPr>
          <w:p w14:paraId="75055AB7" w14:textId="77777777" w:rsidR="003634C3" w:rsidRPr="003634C3" w:rsidRDefault="003634C3" w:rsidP="003634C3">
            <w:pPr>
              <w:jc w:val="center"/>
              <w:rPr>
                <w:sz w:val="18"/>
                <w:szCs w:val="18"/>
              </w:rPr>
            </w:pPr>
            <w:r w:rsidRPr="003634C3">
              <w:rPr>
                <w:sz w:val="18"/>
                <w:szCs w:val="18"/>
              </w:rPr>
              <w:t>12</w:t>
            </w:r>
          </w:p>
        </w:tc>
        <w:tc>
          <w:tcPr>
            <w:tcW w:w="1035" w:type="dxa"/>
            <w:tcBorders>
              <w:top w:val="single" w:sz="8" w:space="0" w:color="FFFFFF"/>
              <w:left w:val="single" w:sz="8" w:space="0" w:color="FFFFFF"/>
              <w:bottom w:val="single" w:sz="8" w:space="0" w:color="FFFFFF"/>
              <w:right w:val="single" w:sz="8" w:space="0" w:color="FFFFFF"/>
            </w:tcBorders>
            <w:shd w:val="clear" w:color="auto" w:fill="FFFFFF"/>
            <w:tcMar>
              <w:top w:w="10" w:type="dxa"/>
              <w:left w:w="10" w:type="dxa"/>
              <w:bottom w:w="0" w:type="dxa"/>
              <w:right w:w="10" w:type="dxa"/>
            </w:tcMar>
            <w:vAlign w:val="center"/>
            <w:hideMark/>
          </w:tcPr>
          <w:p w14:paraId="69761BE9" w14:textId="77777777" w:rsidR="003634C3" w:rsidRPr="003634C3" w:rsidRDefault="003634C3" w:rsidP="003634C3">
            <w:pPr>
              <w:jc w:val="center"/>
              <w:rPr>
                <w:sz w:val="18"/>
                <w:szCs w:val="18"/>
              </w:rPr>
            </w:pPr>
            <w:r w:rsidRPr="003634C3">
              <w:rPr>
                <w:sz w:val="18"/>
                <w:szCs w:val="18"/>
              </w:rPr>
              <w:t>11</w:t>
            </w:r>
          </w:p>
        </w:tc>
      </w:tr>
      <w:tr w:rsidR="003634C3" w:rsidRPr="003634C3" w14:paraId="239A97D7" w14:textId="77777777" w:rsidTr="003634C3">
        <w:trPr>
          <w:trHeight w:val="20"/>
        </w:trPr>
        <w:tc>
          <w:tcPr>
            <w:tcW w:w="1639" w:type="dxa"/>
            <w:tcBorders>
              <w:top w:val="single" w:sz="8" w:space="0" w:color="FFFFFF"/>
              <w:left w:val="single" w:sz="8" w:space="0" w:color="FFFFFF"/>
              <w:bottom w:val="single" w:sz="8" w:space="0" w:color="FFFFFF"/>
              <w:right w:val="single" w:sz="8" w:space="0" w:color="FFFFFF"/>
            </w:tcBorders>
            <w:shd w:val="clear" w:color="auto" w:fill="DBEEF4"/>
            <w:tcMar>
              <w:top w:w="10" w:type="dxa"/>
              <w:left w:w="10" w:type="dxa"/>
              <w:bottom w:w="0" w:type="dxa"/>
              <w:right w:w="10" w:type="dxa"/>
            </w:tcMar>
            <w:vAlign w:val="center"/>
            <w:hideMark/>
          </w:tcPr>
          <w:p w14:paraId="37A34910" w14:textId="77777777" w:rsidR="003634C3" w:rsidRPr="003634C3" w:rsidRDefault="003634C3" w:rsidP="003634C3">
            <w:pPr>
              <w:rPr>
                <w:sz w:val="18"/>
                <w:szCs w:val="18"/>
              </w:rPr>
            </w:pPr>
            <w:r w:rsidRPr="003634C3">
              <w:rPr>
                <w:sz w:val="18"/>
                <w:szCs w:val="18"/>
              </w:rPr>
              <w:t>Straßenbau</w:t>
            </w:r>
          </w:p>
        </w:tc>
        <w:tc>
          <w:tcPr>
            <w:tcW w:w="1037" w:type="dxa"/>
            <w:tcBorders>
              <w:top w:val="single" w:sz="8" w:space="0" w:color="FFFFFF"/>
              <w:left w:val="single" w:sz="8" w:space="0" w:color="FFFFFF"/>
              <w:bottom w:val="single" w:sz="8" w:space="0" w:color="FFFFFF"/>
              <w:right w:val="single" w:sz="8" w:space="0" w:color="FFFFFF"/>
            </w:tcBorders>
            <w:shd w:val="clear" w:color="auto" w:fill="DBEEF4"/>
            <w:tcMar>
              <w:top w:w="10" w:type="dxa"/>
              <w:left w:w="10" w:type="dxa"/>
              <w:bottom w:w="0" w:type="dxa"/>
              <w:right w:w="10" w:type="dxa"/>
            </w:tcMar>
            <w:vAlign w:val="center"/>
            <w:hideMark/>
          </w:tcPr>
          <w:p w14:paraId="0E36C973" w14:textId="77777777" w:rsidR="003634C3" w:rsidRPr="003634C3" w:rsidRDefault="003634C3" w:rsidP="003634C3">
            <w:pPr>
              <w:jc w:val="center"/>
              <w:rPr>
                <w:sz w:val="18"/>
                <w:szCs w:val="18"/>
              </w:rPr>
            </w:pPr>
            <w:r w:rsidRPr="003634C3">
              <w:rPr>
                <w:sz w:val="18"/>
                <w:szCs w:val="18"/>
              </w:rPr>
              <w:t>12</w:t>
            </w:r>
          </w:p>
        </w:tc>
        <w:tc>
          <w:tcPr>
            <w:tcW w:w="1131" w:type="dxa"/>
            <w:tcBorders>
              <w:top w:val="single" w:sz="8" w:space="0" w:color="FFFFFF"/>
              <w:left w:val="single" w:sz="8" w:space="0" w:color="FFFFFF"/>
              <w:bottom w:val="single" w:sz="8" w:space="0" w:color="FFFFFF"/>
              <w:right w:val="single" w:sz="8" w:space="0" w:color="FFFFFF"/>
            </w:tcBorders>
            <w:shd w:val="clear" w:color="auto" w:fill="DBEEF4"/>
            <w:tcMar>
              <w:top w:w="10" w:type="dxa"/>
              <w:left w:w="10" w:type="dxa"/>
              <w:bottom w:w="0" w:type="dxa"/>
              <w:right w:w="10" w:type="dxa"/>
            </w:tcMar>
            <w:vAlign w:val="center"/>
            <w:hideMark/>
          </w:tcPr>
          <w:p w14:paraId="66DB0410" w14:textId="77777777" w:rsidR="003634C3" w:rsidRPr="003634C3" w:rsidRDefault="003634C3" w:rsidP="003634C3">
            <w:pPr>
              <w:jc w:val="center"/>
              <w:rPr>
                <w:sz w:val="18"/>
                <w:szCs w:val="18"/>
              </w:rPr>
            </w:pPr>
            <w:r w:rsidRPr="003634C3">
              <w:rPr>
                <w:sz w:val="18"/>
                <w:szCs w:val="18"/>
              </w:rPr>
              <w:t>15</w:t>
            </w:r>
          </w:p>
        </w:tc>
        <w:tc>
          <w:tcPr>
            <w:tcW w:w="1035" w:type="dxa"/>
            <w:tcBorders>
              <w:top w:val="single" w:sz="8" w:space="0" w:color="FFFFFF"/>
              <w:left w:val="single" w:sz="8" w:space="0" w:color="FFFFFF"/>
              <w:bottom w:val="single" w:sz="8" w:space="0" w:color="FFFFFF"/>
              <w:right w:val="single" w:sz="8" w:space="0" w:color="FFFFFF"/>
            </w:tcBorders>
            <w:shd w:val="clear" w:color="auto" w:fill="DBEEF4"/>
            <w:tcMar>
              <w:top w:w="10" w:type="dxa"/>
              <w:left w:w="10" w:type="dxa"/>
              <w:bottom w:w="0" w:type="dxa"/>
              <w:right w:w="10" w:type="dxa"/>
            </w:tcMar>
            <w:vAlign w:val="center"/>
            <w:hideMark/>
          </w:tcPr>
          <w:p w14:paraId="7B37B7FE" w14:textId="77777777" w:rsidR="003634C3" w:rsidRPr="003634C3" w:rsidRDefault="003634C3" w:rsidP="003634C3">
            <w:pPr>
              <w:jc w:val="center"/>
              <w:rPr>
                <w:sz w:val="18"/>
                <w:szCs w:val="18"/>
              </w:rPr>
            </w:pPr>
            <w:r w:rsidRPr="003634C3">
              <w:rPr>
                <w:sz w:val="18"/>
                <w:szCs w:val="18"/>
              </w:rPr>
              <w:t>13</w:t>
            </w:r>
          </w:p>
        </w:tc>
      </w:tr>
      <w:tr w:rsidR="003634C3" w:rsidRPr="003634C3" w14:paraId="1F3EA04C" w14:textId="77777777" w:rsidTr="003634C3">
        <w:trPr>
          <w:trHeight w:val="250"/>
        </w:trPr>
        <w:tc>
          <w:tcPr>
            <w:tcW w:w="1639" w:type="dxa"/>
            <w:tcBorders>
              <w:top w:val="single" w:sz="8" w:space="0" w:color="FFFFFF"/>
              <w:left w:val="single" w:sz="8" w:space="0" w:color="FFFFFF"/>
              <w:bottom w:val="single" w:sz="8" w:space="0" w:color="FFFFFF"/>
              <w:right w:val="single" w:sz="8" w:space="0" w:color="FFFFFF"/>
            </w:tcBorders>
            <w:shd w:val="clear" w:color="auto" w:fill="FFFFFF"/>
            <w:tcMar>
              <w:top w:w="10" w:type="dxa"/>
              <w:left w:w="10" w:type="dxa"/>
              <w:bottom w:w="0" w:type="dxa"/>
              <w:right w:w="10" w:type="dxa"/>
            </w:tcMar>
            <w:vAlign w:val="center"/>
            <w:hideMark/>
          </w:tcPr>
          <w:p w14:paraId="7CBFE3A6" w14:textId="77777777" w:rsidR="003634C3" w:rsidRPr="003634C3" w:rsidRDefault="003634C3" w:rsidP="003634C3">
            <w:pPr>
              <w:rPr>
                <w:sz w:val="18"/>
                <w:szCs w:val="18"/>
              </w:rPr>
            </w:pPr>
            <w:r w:rsidRPr="003634C3">
              <w:rPr>
                <w:sz w:val="18"/>
                <w:szCs w:val="18"/>
              </w:rPr>
              <w:t>sonst. Tiefbau</w:t>
            </w:r>
          </w:p>
        </w:tc>
        <w:tc>
          <w:tcPr>
            <w:tcW w:w="1037" w:type="dxa"/>
            <w:tcBorders>
              <w:top w:val="single" w:sz="8" w:space="0" w:color="FFFFFF"/>
              <w:left w:val="single" w:sz="8" w:space="0" w:color="FFFFFF"/>
              <w:bottom w:val="single" w:sz="8" w:space="0" w:color="FFFFFF"/>
              <w:right w:val="single" w:sz="8" w:space="0" w:color="FFFFFF"/>
            </w:tcBorders>
            <w:shd w:val="clear" w:color="auto" w:fill="FFFFFF"/>
            <w:tcMar>
              <w:top w:w="10" w:type="dxa"/>
              <w:left w:w="10" w:type="dxa"/>
              <w:bottom w:w="0" w:type="dxa"/>
              <w:right w:w="10" w:type="dxa"/>
            </w:tcMar>
            <w:vAlign w:val="center"/>
            <w:hideMark/>
          </w:tcPr>
          <w:p w14:paraId="688D619F" w14:textId="77777777" w:rsidR="003634C3" w:rsidRPr="003634C3" w:rsidRDefault="003634C3" w:rsidP="003634C3">
            <w:pPr>
              <w:jc w:val="center"/>
              <w:rPr>
                <w:sz w:val="18"/>
                <w:szCs w:val="18"/>
              </w:rPr>
            </w:pPr>
            <w:r w:rsidRPr="003634C3">
              <w:rPr>
                <w:sz w:val="18"/>
                <w:szCs w:val="18"/>
              </w:rPr>
              <w:t>14</w:t>
            </w:r>
          </w:p>
        </w:tc>
        <w:tc>
          <w:tcPr>
            <w:tcW w:w="1131" w:type="dxa"/>
            <w:tcBorders>
              <w:top w:val="single" w:sz="8" w:space="0" w:color="FFFFFF"/>
              <w:left w:val="single" w:sz="8" w:space="0" w:color="FFFFFF"/>
              <w:bottom w:val="single" w:sz="8" w:space="0" w:color="FFFFFF"/>
              <w:right w:val="single" w:sz="8" w:space="0" w:color="FFFFFF"/>
            </w:tcBorders>
            <w:shd w:val="clear" w:color="auto" w:fill="FFFFFF"/>
            <w:tcMar>
              <w:top w:w="10" w:type="dxa"/>
              <w:left w:w="10" w:type="dxa"/>
              <w:bottom w:w="0" w:type="dxa"/>
              <w:right w:w="10" w:type="dxa"/>
            </w:tcMar>
            <w:vAlign w:val="center"/>
            <w:hideMark/>
          </w:tcPr>
          <w:p w14:paraId="12E6F698" w14:textId="77777777" w:rsidR="003634C3" w:rsidRPr="003634C3" w:rsidRDefault="003634C3" w:rsidP="003634C3">
            <w:pPr>
              <w:jc w:val="center"/>
              <w:rPr>
                <w:sz w:val="18"/>
                <w:szCs w:val="18"/>
              </w:rPr>
            </w:pPr>
            <w:r w:rsidRPr="003634C3">
              <w:rPr>
                <w:sz w:val="18"/>
                <w:szCs w:val="18"/>
              </w:rPr>
              <w:t>17</w:t>
            </w:r>
          </w:p>
        </w:tc>
        <w:tc>
          <w:tcPr>
            <w:tcW w:w="1035" w:type="dxa"/>
            <w:tcBorders>
              <w:top w:val="single" w:sz="8" w:space="0" w:color="FFFFFF"/>
              <w:left w:val="single" w:sz="8" w:space="0" w:color="FFFFFF"/>
              <w:bottom w:val="single" w:sz="8" w:space="0" w:color="FFFFFF"/>
              <w:right w:val="single" w:sz="8" w:space="0" w:color="FFFFFF"/>
            </w:tcBorders>
            <w:shd w:val="clear" w:color="auto" w:fill="FFFFFF"/>
            <w:tcMar>
              <w:top w:w="10" w:type="dxa"/>
              <w:left w:w="10" w:type="dxa"/>
              <w:bottom w:w="0" w:type="dxa"/>
              <w:right w:w="10" w:type="dxa"/>
            </w:tcMar>
            <w:vAlign w:val="center"/>
            <w:hideMark/>
          </w:tcPr>
          <w:p w14:paraId="418ED2ED" w14:textId="77777777" w:rsidR="003634C3" w:rsidRPr="003634C3" w:rsidRDefault="003634C3" w:rsidP="003634C3">
            <w:pPr>
              <w:jc w:val="center"/>
              <w:rPr>
                <w:sz w:val="18"/>
                <w:szCs w:val="18"/>
              </w:rPr>
            </w:pPr>
            <w:r w:rsidRPr="003634C3">
              <w:rPr>
                <w:sz w:val="18"/>
                <w:szCs w:val="18"/>
              </w:rPr>
              <w:t>14</w:t>
            </w:r>
          </w:p>
        </w:tc>
      </w:tr>
      <w:tr w:rsidR="003634C3" w:rsidRPr="003634C3" w14:paraId="0A1305BD" w14:textId="77777777" w:rsidTr="003634C3">
        <w:trPr>
          <w:trHeight w:val="287"/>
        </w:trPr>
        <w:tc>
          <w:tcPr>
            <w:tcW w:w="1639" w:type="dxa"/>
            <w:tcBorders>
              <w:top w:val="single" w:sz="8" w:space="0" w:color="FFFFFF"/>
              <w:left w:val="single" w:sz="8" w:space="0" w:color="FFFFFF"/>
              <w:bottom w:val="single" w:sz="8" w:space="0" w:color="FFFFFF"/>
              <w:right w:val="single" w:sz="8" w:space="0" w:color="FFFFFF"/>
            </w:tcBorders>
            <w:shd w:val="clear" w:color="auto" w:fill="DBEEF4"/>
            <w:tcMar>
              <w:top w:w="10" w:type="dxa"/>
              <w:left w:w="10" w:type="dxa"/>
              <w:bottom w:w="0" w:type="dxa"/>
              <w:right w:w="10" w:type="dxa"/>
            </w:tcMar>
            <w:vAlign w:val="center"/>
            <w:hideMark/>
          </w:tcPr>
          <w:p w14:paraId="4098410D" w14:textId="77777777" w:rsidR="003634C3" w:rsidRPr="003634C3" w:rsidRDefault="003634C3" w:rsidP="003634C3">
            <w:pPr>
              <w:rPr>
                <w:sz w:val="18"/>
                <w:szCs w:val="18"/>
              </w:rPr>
            </w:pPr>
            <w:r w:rsidRPr="003634C3">
              <w:rPr>
                <w:sz w:val="18"/>
                <w:szCs w:val="18"/>
              </w:rPr>
              <w:t>Ausbau</w:t>
            </w:r>
          </w:p>
        </w:tc>
        <w:tc>
          <w:tcPr>
            <w:tcW w:w="1037" w:type="dxa"/>
            <w:tcBorders>
              <w:top w:val="single" w:sz="8" w:space="0" w:color="FFFFFF"/>
              <w:left w:val="single" w:sz="8" w:space="0" w:color="FFFFFF"/>
              <w:bottom w:val="single" w:sz="8" w:space="0" w:color="FFFFFF"/>
              <w:right w:val="single" w:sz="8" w:space="0" w:color="FFFFFF"/>
            </w:tcBorders>
            <w:shd w:val="clear" w:color="auto" w:fill="DBEEF4"/>
            <w:tcMar>
              <w:top w:w="10" w:type="dxa"/>
              <w:left w:w="10" w:type="dxa"/>
              <w:bottom w:w="0" w:type="dxa"/>
              <w:right w:w="10" w:type="dxa"/>
            </w:tcMar>
            <w:vAlign w:val="center"/>
            <w:hideMark/>
          </w:tcPr>
          <w:p w14:paraId="2C046777" w14:textId="77777777" w:rsidR="003634C3" w:rsidRPr="003634C3" w:rsidRDefault="003634C3" w:rsidP="003634C3">
            <w:pPr>
              <w:jc w:val="center"/>
              <w:rPr>
                <w:sz w:val="18"/>
                <w:szCs w:val="18"/>
              </w:rPr>
            </w:pPr>
            <w:r w:rsidRPr="003634C3">
              <w:rPr>
                <w:sz w:val="18"/>
                <w:szCs w:val="18"/>
              </w:rPr>
              <w:t>13</w:t>
            </w:r>
          </w:p>
        </w:tc>
        <w:tc>
          <w:tcPr>
            <w:tcW w:w="1131" w:type="dxa"/>
            <w:tcBorders>
              <w:top w:val="single" w:sz="8" w:space="0" w:color="FFFFFF"/>
              <w:left w:val="single" w:sz="8" w:space="0" w:color="FFFFFF"/>
              <w:bottom w:val="single" w:sz="8" w:space="0" w:color="FFFFFF"/>
              <w:right w:val="single" w:sz="8" w:space="0" w:color="FFFFFF"/>
            </w:tcBorders>
            <w:shd w:val="clear" w:color="auto" w:fill="DBEEF4"/>
            <w:tcMar>
              <w:top w:w="10" w:type="dxa"/>
              <w:left w:w="10" w:type="dxa"/>
              <w:bottom w:w="0" w:type="dxa"/>
              <w:right w:w="10" w:type="dxa"/>
            </w:tcMar>
            <w:vAlign w:val="center"/>
            <w:hideMark/>
          </w:tcPr>
          <w:p w14:paraId="40020E9B" w14:textId="77777777" w:rsidR="003634C3" w:rsidRPr="003634C3" w:rsidRDefault="003634C3" w:rsidP="003634C3">
            <w:pPr>
              <w:jc w:val="center"/>
              <w:rPr>
                <w:sz w:val="18"/>
                <w:szCs w:val="18"/>
              </w:rPr>
            </w:pPr>
            <w:r w:rsidRPr="003634C3">
              <w:rPr>
                <w:sz w:val="18"/>
                <w:szCs w:val="18"/>
              </w:rPr>
              <w:t>14</w:t>
            </w:r>
          </w:p>
        </w:tc>
        <w:tc>
          <w:tcPr>
            <w:tcW w:w="1035" w:type="dxa"/>
            <w:tcBorders>
              <w:top w:val="single" w:sz="8" w:space="0" w:color="FFFFFF"/>
              <w:left w:val="single" w:sz="8" w:space="0" w:color="FFFFFF"/>
              <w:bottom w:val="single" w:sz="8" w:space="0" w:color="FFFFFF"/>
              <w:right w:val="single" w:sz="8" w:space="0" w:color="FFFFFF"/>
            </w:tcBorders>
            <w:shd w:val="clear" w:color="auto" w:fill="DBEEF4"/>
            <w:tcMar>
              <w:top w:w="10" w:type="dxa"/>
              <w:left w:w="10" w:type="dxa"/>
              <w:bottom w:w="0" w:type="dxa"/>
              <w:right w:w="10" w:type="dxa"/>
            </w:tcMar>
            <w:vAlign w:val="center"/>
            <w:hideMark/>
          </w:tcPr>
          <w:p w14:paraId="29F72A00" w14:textId="77777777" w:rsidR="003634C3" w:rsidRPr="003634C3" w:rsidRDefault="003634C3" w:rsidP="003634C3">
            <w:pPr>
              <w:jc w:val="center"/>
              <w:rPr>
                <w:sz w:val="18"/>
                <w:szCs w:val="18"/>
              </w:rPr>
            </w:pPr>
            <w:r w:rsidRPr="003634C3">
              <w:rPr>
                <w:sz w:val="18"/>
                <w:szCs w:val="18"/>
              </w:rPr>
              <w:t>13</w:t>
            </w:r>
          </w:p>
        </w:tc>
      </w:tr>
    </w:tbl>
    <w:p w14:paraId="3AB7312E" w14:textId="0D001C27" w:rsidR="00370963" w:rsidRDefault="00863BC9" w:rsidP="00280FD1">
      <w:pPr>
        <w:spacing w:before="240"/>
      </w:pPr>
      <w:r>
        <w:t>Unter der schwachen Auftragslage hat</w:t>
      </w:r>
      <w:r w:rsidR="007C3050">
        <w:t xml:space="preserve"> die</w:t>
      </w:r>
      <w:r w:rsidR="00370963" w:rsidRPr="00873989">
        <w:t xml:space="preserve"> </w:t>
      </w:r>
      <w:r w:rsidR="00370963" w:rsidRPr="00863BC9">
        <w:rPr>
          <w:i/>
        </w:rPr>
        <w:t>Geräteauslastung</w:t>
      </w:r>
      <w:r w:rsidR="00370963" w:rsidRPr="00873989">
        <w:t xml:space="preserve"> </w:t>
      </w:r>
      <w:r>
        <w:t>im Vergleich zum Vorjahr weiter</w:t>
      </w:r>
      <w:r w:rsidR="00370963" w:rsidRPr="00873989">
        <w:t xml:space="preserve"> nachgegeben</w:t>
      </w:r>
      <w:r w:rsidR="00370963" w:rsidRPr="008354BA">
        <w:t>; (</w:t>
      </w:r>
      <w:r w:rsidR="00370963" w:rsidRPr="008354BA">
        <w:rPr>
          <w:i/>
          <w:iCs/>
        </w:rPr>
        <w:t>Frage 9</w:t>
      </w:r>
      <w:r w:rsidR="00370963" w:rsidRPr="008354BA">
        <w:t xml:space="preserve">). </w:t>
      </w:r>
      <w:r>
        <w:t>Im Ausbau werden noch 58 % erreicht, nach 60 % im Vorjahr</w:t>
      </w:r>
      <w:r w:rsidR="00370963">
        <w:t>.</w:t>
      </w:r>
      <w:r>
        <w:t xml:space="preserve"> Im Tiefbau gehen die Werte von 63</w:t>
      </w:r>
      <w:r w:rsidR="007C3050">
        <w:t xml:space="preserve"> </w:t>
      </w:r>
      <w:r>
        <w:t>% auf 62</w:t>
      </w:r>
      <w:r w:rsidR="007C3050">
        <w:t xml:space="preserve"> </w:t>
      </w:r>
      <w:r>
        <w:t>% und im Hochbau von 59 % auf 58 % zurück. Im Herbst 2022 lagen die Werte noch bei 65 % bis 66 %.</w:t>
      </w:r>
    </w:p>
    <w:p w14:paraId="634F45E3" w14:textId="2889C055" w:rsidR="00102916" w:rsidRPr="00102916" w:rsidRDefault="00102916" w:rsidP="00370963">
      <w:pPr>
        <w:rPr>
          <w:color w:val="0197C6"/>
        </w:rPr>
      </w:pPr>
      <w:r w:rsidRPr="00102916">
        <w:rPr>
          <w:color w:val="0197C6"/>
        </w:rPr>
        <w:t xml:space="preserve">Durchschnittliche </w:t>
      </w:r>
      <w:r w:rsidRPr="00102916">
        <w:rPr>
          <w:b/>
          <w:bCs/>
          <w:color w:val="0197C6"/>
        </w:rPr>
        <w:t>Geräteauslastung</w:t>
      </w:r>
    </w:p>
    <w:p w14:paraId="17C4A107" w14:textId="643B8F19" w:rsidR="003634C3" w:rsidRDefault="003634C3" w:rsidP="00370963">
      <w:r w:rsidRPr="003634C3">
        <w:rPr>
          <w:noProof/>
        </w:rPr>
        <w:drawing>
          <wp:inline distT="0" distB="0" distL="0" distR="0" wp14:anchorId="5BED97D5" wp14:editId="27E1A753">
            <wp:extent cx="3960000" cy="1800000"/>
            <wp:effectExtent l="0" t="0" r="2540" b="10160"/>
            <wp:docPr id="1473977164" name="Diagramm 1">
              <a:extLst xmlns:a="http://schemas.openxmlformats.org/drawingml/2006/main">
                <a:ext uri="{FF2B5EF4-FFF2-40B4-BE49-F238E27FC236}">
                  <a16:creationId xmlns:a16="http://schemas.microsoft.com/office/drawing/2014/main" id="{5BD57927-5706-11C5-61B0-DA12FB05AC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A91E2F" w14:textId="77777777" w:rsidR="00370963" w:rsidRPr="000C0532" w:rsidRDefault="00370963" w:rsidP="00370963">
      <w:pPr>
        <w:rPr>
          <w:b/>
          <w:i/>
          <w:color w:val="000000" w:themeColor="text1"/>
        </w:rPr>
      </w:pPr>
      <w:r w:rsidRPr="000C0532">
        <w:rPr>
          <w:b/>
          <w:i/>
          <w:color w:val="000000" w:themeColor="text1"/>
        </w:rPr>
        <w:t>Umsatzentwicklung; Fragen 10 und 11</w:t>
      </w:r>
    </w:p>
    <w:p w14:paraId="61602A2C" w14:textId="5DED1621" w:rsidR="00084A3B" w:rsidRDefault="00370963" w:rsidP="00370963">
      <w:r w:rsidRPr="00B16D2F">
        <w:t xml:space="preserve">Die </w:t>
      </w:r>
      <w:r w:rsidRPr="008354BA">
        <w:rPr>
          <w:i/>
          <w:iCs/>
        </w:rPr>
        <w:t>Umsatzentwicklung für 202</w:t>
      </w:r>
      <w:r w:rsidR="00084A3B">
        <w:rPr>
          <w:i/>
          <w:iCs/>
        </w:rPr>
        <w:t>4</w:t>
      </w:r>
      <w:r w:rsidRPr="008354BA">
        <w:t xml:space="preserve"> </w:t>
      </w:r>
      <w:r w:rsidRPr="00B16D2F">
        <w:t xml:space="preserve">wird </w:t>
      </w:r>
      <w:r w:rsidR="00084A3B">
        <w:t>per Saldo rückläufig erwartet. Etwa 40</w:t>
      </w:r>
      <w:r w:rsidR="007C3050">
        <w:t xml:space="preserve"> </w:t>
      </w:r>
      <w:r w:rsidR="00084A3B">
        <w:t>% der Unternehmen rechnen damit</w:t>
      </w:r>
      <w:r w:rsidR="007C3050">
        <w:t>,</w:t>
      </w:r>
      <w:r w:rsidR="00084A3B">
        <w:t xml:space="preserve"> in 2024 höhere oder zumindest unveränderte Umsätze wie 2023 eingefahren zu haben. Etwa 60 % der rückmeldenden Unternehmen gehen jedoch von verringerten Umsätzen aus. Auch hier wird die zweigeteilte Konjunkturentwicklung im Bauhauptgewerbe deutlich: Im Tiefbau und im Ausbau sehen gut die Hälfte der Unternehmen mindestens unveränderte Umsätze, im Wohnungs- und Wirtschaftsbau sind dies nur ein Drittel der Unternehmen.</w:t>
      </w:r>
      <w:r w:rsidR="00B0087F">
        <w:t xml:space="preserve"> (Frage 10) </w:t>
      </w:r>
    </w:p>
    <w:p w14:paraId="24B9391C" w14:textId="77777777" w:rsidR="002243F4" w:rsidRDefault="002243F4" w:rsidP="00370963"/>
    <w:p w14:paraId="30D7FDEE" w14:textId="11ABDCB8" w:rsidR="00102916" w:rsidRPr="00102916" w:rsidRDefault="00102916" w:rsidP="00370963">
      <w:pPr>
        <w:rPr>
          <w:color w:val="0197C6"/>
        </w:rPr>
      </w:pPr>
      <w:r w:rsidRPr="00102916">
        <w:rPr>
          <w:color w:val="0197C6"/>
        </w:rPr>
        <w:lastRenderedPageBreak/>
        <w:t xml:space="preserve">Voraussichtliche </w:t>
      </w:r>
      <w:r w:rsidRPr="00102916">
        <w:rPr>
          <w:b/>
          <w:bCs/>
          <w:color w:val="0197C6"/>
        </w:rPr>
        <w:t>Umsatzentwicklung</w:t>
      </w:r>
      <w:r w:rsidRPr="00102916">
        <w:rPr>
          <w:color w:val="0197C6"/>
        </w:rPr>
        <w:t xml:space="preserve"> 2024 </w:t>
      </w:r>
      <w:proofErr w:type="spellStart"/>
      <w:r w:rsidRPr="00102916">
        <w:rPr>
          <w:color w:val="0197C6"/>
        </w:rPr>
        <w:t>ggü</w:t>
      </w:r>
      <w:proofErr w:type="spellEnd"/>
      <w:r w:rsidRPr="00102916">
        <w:rPr>
          <w:color w:val="0197C6"/>
        </w:rPr>
        <w:t>. 2023</w:t>
      </w:r>
    </w:p>
    <w:p w14:paraId="33C11C31" w14:textId="39BE69AA" w:rsidR="003634C3" w:rsidRDefault="003634C3" w:rsidP="00370963">
      <w:r w:rsidRPr="003634C3">
        <w:rPr>
          <w:noProof/>
        </w:rPr>
        <w:drawing>
          <wp:inline distT="0" distB="0" distL="0" distR="0" wp14:anchorId="58E867E3" wp14:editId="6B8BDB4F">
            <wp:extent cx="3960000" cy="1800000"/>
            <wp:effectExtent l="0" t="0" r="2540" b="10160"/>
            <wp:docPr id="907614045"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568D3A3" w14:textId="48339C14" w:rsidR="00102916" w:rsidRPr="00102916" w:rsidRDefault="00102916" w:rsidP="00370963">
      <w:pPr>
        <w:rPr>
          <w:color w:val="0197C6"/>
        </w:rPr>
      </w:pPr>
      <w:r w:rsidRPr="00102916">
        <w:rPr>
          <w:color w:val="0197C6"/>
        </w:rPr>
        <w:t xml:space="preserve">Voraussichtliche </w:t>
      </w:r>
      <w:r w:rsidRPr="00102916">
        <w:rPr>
          <w:b/>
          <w:bCs/>
          <w:color w:val="0197C6"/>
        </w:rPr>
        <w:t>Umsatzentwicklung</w:t>
      </w:r>
      <w:r w:rsidRPr="00102916">
        <w:rPr>
          <w:color w:val="0197C6"/>
        </w:rPr>
        <w:t xml:space="preserve"> aktuelles Jahr </w:t>
      </w:r>
      <w:proofErr w:type="spellStart"/>
      <w:r w:rsidRPr="00102916">
        <w:rPr>
          <w:color w:val="0197C6"/>
        </w:rPr>
        <w:t>ggü</w:t>
      </w:r>
      <w:proofErr w:type="spellEnd"/>
      <w:r w:rsidRPr="00102916">
        <w:rPr>
          <w:color w:val="0197C6"/>
        </w:rPr>
        <w:t xml:space="preserve">. </w:t>
      </w:r>
      <w:proofErr w:type="spellStart"/>
      <w:r w:rsidRPr="00102916">
        <w:rPr>
          <w:color w:val="0197C6"/>
        </w:rPr>
        <w:t>Vj</w:t>
      </w:r>
      <w:proofErr w:type="spellEnd"/>
      <w:r w:rsidRPr="00102916">
        <w:rPr>
          <w:color w:val="0197C6"/>
        </w:rPr>
        <w:t>.</w:t>
      </w:r>
    </w:p>
    <w:p w14:paraId="31EE7626" w14:textId="4E360DC6" w:rsidR="003634C3" w:rsidRDefault="00FE47E1" w:rsidP="00370963">
      <w:r w:rsidRPr="00FE47E1">
        <w:rPr>
          <w:noProof/>
        </w:rPr>
        <w:drawing>
          <wp:inline distT="0" distB="0" distL="0" distR="0" wp14:anchorId="0ABB3508" wp14:editId="174A0E88">
            <wp:extent cx="3960000" cy="1440000"/>
            <wp:effectExtent l="0" t="0" r="2540" b="8255"/>
            <wp:docPr id="1061917257" name="Diagramm 1">
              <a:extLst xmlns:a="http://schemas.openxmlformats.org/drawingml/2006/main">
                <a:ext uri="{FF2B5EF4-FFF2-40B4-BE49-F238E27FC236}">
                  <a16:creationId xmlns:a16="http://schemas.microsoft.com/office/drawing/2014/main" id="{6C5A2C7E-6B85-4351-BBD9-EF402671E1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BD064DA" w14:textId="4C37217E" w:rsidR="00B0087F" w:rsidRDefault="00B0087F" w:rsidP="00B0087F">
      <w:r>
        <w:t>Etwas optimistischer schauen die Unternehmen auf das Jahr 2025.</w:t>
      </w:r>
      <w:r w:rsidRPr="00B0087F">
        <w:t xml:space="preserve"> </w:t>
      </w:r>
      <w:r>
        <w:t xml:space="preserve">Knapp die </w:t>
      </w:r>
      <w:r w:rsidR="00167655">
        <w:t>H</w:t>
      </w:r>
      <w:r>
        <w:t xml:space="preserve">älfte der </w:t>
      </w:r>
      <w:r w:rsidR="00167655">
        <w:t>U</w:t>
      </w:r>
      <w:r>
        <w:t xml:space="preserve">nternehmen -ca.  46 Prozent – hoffen auf unveränderte oder wieder steigende Umsätze. Entsprechend gut die </w:t>
      </w:r>
      <w:r w:rsidR="007C3050">
        <w:t>H</w:t>
      </w:r>
      <w:r>
        <w:t xml:space="preserve">älfte der Unternehmen erwartet das eher nicht. Auch hier ist der Optimismus im Tiefbau und im Ausbau erkennbar höher als in den </w:t>
      </w:r>
      <w:proofErr w:type="spellStart"/>
      <w:r>
        <w:t>hochbaulastigen</w:t>
      </w:r>
      <w:proofErr w:type="spellEnd"/>
      <w:r>
        <w:t xml:space="preserve"> Bausparten</w:t>
      </w:r>
      <w:r w:rsidR="00482F14">
        <w:t>. (Frage 11)</w:t>
      </w:r>
    </w:p>
    <w:p w14:paraId="2895B78E" w14:textId="76E2708C" w:rsidR="00102916" w:rsidRPr="00102916" w:rsidRDefault="00102916" w:rsidP="00B0087F">
      <w:pPr>
        <w:rPr>
          <w:color w:val="0197C6"/>
        </w:rPr>
      </w:pPr>
      <w:r w:rsidRPr="00102916">
        <w:rPr>
          <w:color w:val="0197C6"/>
        </w:rPr>
        <w:t xml:space="preserve">Voraussichtliche </w:t>
      </w:r>
      <w:r w:rsidRPr="00102916">
        <w:rPr>
          <w:b/>
          <w:bCs/>
          <w:color w:val="0197C6"/>
        </w:rPr>
        <w:t>Umsatzentwicklung</w:t>
      </w:r>
      <w:r w:rsidRPr="00102916">
        <w:rPr>
          <w:color w:val="0197C6"/>
        </w:rPr>
        <w:t xml:space="preserve"> 2025 </w:t>
      </w:r>
      <w:proofErr w:type="spellStart"/>
      <w:r w:rsidRPr="00102916">
        <w:rPr>
          <w:color w:val="0197C6"/>
        </w:rPr>
        <w:t>ggü</w:t>
      </w:r>
      <w:proofErr w:type="spellEnd"/>
      <w:r w:rsidRPr="00102916">
        <w:rPr>
          <w:color w:val="0197C6"/>
        </w:rPr>
        <w:t>. 2024</w:t>
      </w:r>
    </w:p>
    <w:p w14:paraId="42F328FC" w14:textId="5CA01206" w:rsidR="00FE47E1" w:rsidRDefault="00FE47E1" w:rsidP="00B0087F">
      <w:r w:rsidRPr="00FE47E1">
        <w:rPr>
          <w:noProof/>
        </w:rPr>
        <w:drawing>
          <wp:inline distT="0" distB="0" distL="0" distR="0" wp14:anchorId="03E06A64" wp14:editId="2411D6B0">
            <wp:extent cx="3960000" cy="1872000"/>
            <wp:effectExtent l="0" t="0" r="2540" b="13970"/>
            <wp:docPr id="1116235847"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F94F176" w14:textId="2B35AC1D" w:rsidR="00102916" w:rsidRPr="00102916" w:rsidRDefault="00102916" w:rsidP="00B0087F">
      <w:pPr>
        <w:rPr>
          <w:color w:val="0197C6"/>
        </w:rPr>
      </w:pPr>
      <w:r w:rsidRPr="00102916">
        <w:rPr>
          <w:color w:val="0197C6"/>
        </w:rPr>
        <w:t xml:space="preserve">Voraussichtliche Umsatzentwicklung nächstes Jahr </w:t>
      </w:r>
      <w:proofErr w:type="spellStart"/>
      <w:r w:rsidRPr="00102916">
        <w:rPr>
          <w:color w:val="0197C6"/>
        </w:rPr>
        <w:t>ggü</w:t>
      </w:r>
      <w:proofErr w:type="spellEnd"/>
      <w:r w:rsidRPr="00102916">
        <w:rPr>
          <w:color w:val="0197C6"/>
        </w:rPr>
        <w:t>. aktuellem Jahr</w:t>
      </w:r>
    </w:p>
    <w:p w14:paraId="5700161F" w14:textId="7DCE7307" w:rsidR="00FE47E1" w:rsidRDefault="00FE47E1" w:rsidP="00B0087F">
      <w:r w:rsidRPr="00FE47E1">
        <w:rPr>
          <w:noProof/>
        </w:rPr>
        <w:drawing>
          <wp:inline distT="0" distB="0" distL="0" distR="0" wp14:anchorId="741FDC22" wp14:editId="43473E8A">
            <wp:extent cx="3960000" cy="1404000"/>
            <wp:effectExtent l="0" t="0" r="2540" b="5715"/>
            <wp:docPr id="1289566349" name="Diagramm 1">
              <a:extLst xmlns:a="http://schemas.openxmlformats.org/drawingml/2006/main">
                <a:ext uri="{FF2B5EF4-FFF2-40B4-BE49-F238E27FC236}">
                  <a16:creationId xmlns:a16="http://schemas.microsoft.com/office/drawing/2014/main" id="{525D58BE-A3A1-4F0F-B044-CD0CE62412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5FAEFB9" w14:textId="25E93AC1" w:rsidR="00370963" w:rsidRPr="00D53159" w:rsidRDefault="00370963" w:rsidP="00370963">
      <w:pPr>
        <w:rPr>
          <w:b/>
          <w:i/>
          <w:color w:val="000000" w:themeColor="text1"/>
        </w:rPr>
      </w:pPr>
      <w:r w:rsidRPr="00D53159">
        <w:rPr>
          <w:b/>
          <w:i/>
          <w:color w:val="000000" w:themeColor="text1"/>
        </w:rPr>
        <w:lastRenderedPageBreak/>
        <w:t>Kapazitätsentwicklung: Beschäftigung und Investitionen (Fragen 12 bis 18)</w:t>
      </w:r>
    </w:p>
    <w:p w14:paraId="66CB83CA" w14:textId="4164B8CF" w:rsidR="00370963" w:rsidRPr="00DA7CE9" w:rsidRDefault="00370963" w:rsidP="00370963">
      <w:r w:rsidRPr="00DA7CE9">
        <w:t xml:space="preserve">Der Kapazitätsaufbau im Bauhauptgewerbe ist </w:t>
      </w:r>
      <w:r w:rsidR="00482F14">
        <w:t xml:space="preserve">seit dem letzten Jahr </w:t>
      </w:r>
      <w:r w:rsidRPr="00DA7CE9">
        <w:t xml:space="preserve">ins Stocken geraten. </w:t>
      </w:r>
      <w:r w:rsidR="00482F14">
        <w:t xml:space="preserve">Die Umsatzrückgänge der letzten Jahre schlagen zunehmend auf die Bereitschaft durch, neu Beschäftigte einzustellen bzw./und zu investieren. </w:t>
      </w:r>
    </w:p>
    <w:p w14:paraId="115F6FFD" w14:textId="77777777" w:rsidR="00370963" w:rsidRPr="00730A76" w:rsidRDefault="00370963" w:rsidP="00370963">
      <w:pPr>
        <w:rPr>
          <w:i/>
        </w:rPr>
      </w:pPr>
      <w:r w:rsidRPr="00730A76">
        <w:rPr>
          <w:i/>
        </w:rPr>
        <w:t>Beschäftigte und Lehrlinge</w:t>
      </w:r>
    </w:p>
    <w:p w14:paraId="1DA1F592" w14:textId="57985D94" w:rsidR="00977D27" w:rsidRDefault="00794BEA" w:rsidP="00370963">
      <w:r>
        <w:t xml:space="preserve">Die nun schon mehrjährig anhaltende Auftragsschwäche im Bauhauptgewerbe bremst den Kapazitätsaufbau bei der Beschäftigung aus. War der Beschäftigtenaufbau im letzten Jahr zum Erliegen gekommen, schaffen es die Unternehmen erstmalig </w:t>
      </w:r>
      <w:r w:rsidRPr="008A2161">
        <w:t xml:space="preserve">seit </w:t>
      </w:r>
      <w:r w:rsidR="008A2161" w:rsidRPr="008A2161">
        <w:t>2008</w:t>
      </w:r>
      <w:r w:rsidRPr="008A2161">
        <w:t xml:space="preserve"> nicht </w:t>
      </w:r>
      <w:r>
        <w:t>mehr</w:t>
      </w:r>
      <w:r w:rsidR="008A2161">
        <w:t>,</w:t>
      </w:r>
      <w:r>
        <w:t xml:space="preserve"> den </w:t>
      </w:r>
      <w:r w:rsidR="008A2161">
        <w:t>B</w:t>
      </w:r>
      <w:r>
        <w:t xml:space="preserve">eschäftigtenstand zu halten. Das zeigt sich auch bei der Umfrage. </w:t>
      </w:r>
      <w:r w:rsidR="00977D27">
        <w:t xml:space="preserve">Ca. 34 Prozent der Unternehmen melden einen Beschäftigtenrückgang, nur gut 10 haben zusätzliche Beschäftigte eingestellt.  </w:t>
      </w:r>
    </w:p>
    <w:p w14:paraId="3BBB0338" w14:textId="15AE804B" w:rsidR="00977D27" w:rsidRDefault="008F2711" w:rsidP="00370963">
      <w:r>
        <w:t>Für 2025 fällt der Saldo nicht mehr so deutlich aus: Gut 17 Prozent der Unternehmen sehen sich veranlasst</w:t>
      </w:r>
      <w:r w:rsidR="007F6181">
        <w:t>,</w:t>
      </w:r>
      <w:r>
        <w:t xml:space="preserve"> den </w:t>
      </w:r>
      <w:r w:rsidR="007F6181">
        <w:t>B</w:t>
      </w:r>
      <w:r>
        <w:t>eschäftigtenstand weiter zu reduzieren, gut 13 Prozent wollen ihn erhöhen.</w:t>
      </w:r>
    </w:p>
    <w:p w14:paraId="46B9D789" w14:textId="1778AA05" w:rsidR="00FE47E1" w:rsidRPr="00FE47E1" w:rsidRDefault="00FE47E1" w:rsidP="00370963">
      <w:pPr>
        <w:rPr>
          <w:color w:val="0197C6"/>
        </w:rPr>
      </w:pPr>
      <w:r w:rsidRPr="00FE47E1">
        <w:rPr>
          <w:color w:val="0197C6"/>
        </w:rPr>
        <w:t xml:space="preserve">Veränderung </w:t>
      </w:r>
      <w:r w:rsidRPr="00FE47E1">
        <w:rPr>
          <w:b/>
          <w:bCs/>
          <w:color w:val="0197C6"/>
        </w:rPr>
        <w:t xml:space="preserve">Zahl der Beschäftigten </w:t>
      </w:r>
      <w:r w:rsidRPr="00FE47E1">
        <w:rPr>
          <w:color w:val="0197C6"/>
        </w:rPr>
        <w:t xml:space="preserve">aktuelles Jahr </w:t>
      </w:r>
      <w:proofErr w:type="spellStart"/>
      <w:r w:rsidRPr="00FE47E1">
        <w:rPr>
          <w:color w:val="0197C6"/>
        </w:rPr>
        <w:t>ggü</w:t>
      </w:r>
      <w:proofErr w:type="spellEnd"/>
      <w:r w:rsidRPr="00FE47E1">
        <w:rPr>
          <w:color w:val="0197C6"/>
        </w:rPr>
        <w:t xml:space="preserve">. </w:t>
      </w:r>
      <w:proofErr w:type="spellStart"/>
      <w:r w:rsidRPr="00FE47E1">
        <w:rPr>
          <w:color w:val="0197C6"/>
        </w:rPr>
        <w:t>Vj</w:t>
      </w:r>
      <w:proofErr w:type="spellEnd"/>
      <w:r w:rsidRPr="00FE47E1">
        <w:rPr>
          <w:color w:val="0197C6"/>
        </w:rPr>
        <w:t>.</w:t>
      </w:r>
    </w:p>
    <w:p w14:paraId="5268BE62" w14:textId="208C2740" w:rsidR="00FE47E1" w:rsidRDefault="00FE47E1" w:rsidP="00370963">
      <w:r w:rsidRPr="00FE47E1">
        <w:rPr>
          <w:noProof/>
        </w:rPr>
        <w:drawing>
          <wp:inline distT="0" distB="0" distL="0" distR="0" wp14:anchorId="3BCA9233" wp14:editId="1221CF5F">
            <wp:extent cx="3960000" cy="1800000"/>
            <wp:effectExtent l="0" t="0" r="2540" b="10160"/>
            <wp:docPr id="299204353"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86C54A9" w14:textId="7640C641" w:rsidR="00FE47E1" w:rsidRPr="00FE47E1" w:rsidRDefault="00FE47E1" w:rsidP="00370963">
      <w:pPr>
        <w:rPr>
          <w:color w:val="0197C6"/>
        </w:rPr>
      </w:pPr>
      <w:r w:rsidRPr="00FE47E1">
        <w:rPr>
          <w:color w:val="0197C6"/>
        </w:rPr>
        <w:t xml:space="preserve">Veränderung </w:t>
      </w:r>
      <w:r w:rsidRPr="00FE47E1">
        <w:rPr>
          <w:b/>
          <w:bCs/>
          <w:color w:val="0197C6"/>
        </w:rPr>
        <w:t xml:space="preserve">Zahl der Beschäftigten </w:t>
      </w:r>
      <w:r w:rsidRPr="00FE47E1">
        <w:rPr>
          <w:color w:val="0197C6"/>
        </w:rPr>
        <w:t xml:space="preserve">nächstes Jahr </w:t>
      </w:r>
      <w:proofErr w:type="spellStart"/>
      <w:r w:rsidRPr="00FE47E1">
        <w:rPr>
          <w:color w:val="0197C6"/>
        </w:rPr>
        <w:t>ggü</w:t>
      </w:r>
      <w:proofErr w:type="spellEnd"/>
      <w:r w:rsidRPr="00FE47E1">
        <w:rPr>
          <w:color w:val="0197C6"/>
        </w:rPr>
        <w:t>. aktuellem Jahr</w:t>
      </w:r>
    </w:p>
    <w:p w14:paraId="612B7F68" w14:textId="53CF0D22" w:rsidR="00FE47E1" w:rsidRDefault="00FE47E1" w:rsidP="00370963">
      <w:r w:rsidRPr="00FE47E1">
        <w:rPr>
          <w:noProof/>
        </w:rPr>
        <w:drawing>
          <wp:inline distT="0" distB="0" distL="0" distR="0" wp14:anchorId="4937B887" wp14:editId="7B6F6BC3">
            <wp:extent cx="3960000" cy="1800000"/>
            <wp:effectExtent l="0" t="0" r="2540" b="10160"/>
            <wp:docPr id="466222163"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A6DFBE1" w14:textId="38C52E8A" w:rsidR="00977D27" w:rsidRDefault="008F2711" w:rsidP="00370963">
      <w:r>
        <w:t xml:space="preserve">Auch die Zahl der Lehrlinge wurde in 2024 nicht gehalten. Gut 30 Prozent der Unternehmen melden hier einen Rückgang, gut 16 Prozent haben mehr Lehrlinge an Bord genommen. Für 2025 ist der überwiegende </w:t>
      </w:r>
      <w:r w:rsidR="00B2766A">
        <w:t>T</w:t>
      </w:r>
      <w:r>
        <w:t>eil der Unternehmen optimistisch</w:t>
      </w:r>
      <w:r w:rsidR="007F6181">
        <w:t>,</w:t>
      </w:r>
      <w:r>
        <w:t xml:space="preserve"> wieder mehr Lehrlinge einzustellen. </w:t>
      </w:r>
      <w:r w:rsidR="000D6176">
        <w:t>Gut 80 Prozent der Unternehmen wollen die Anzahl der Lehrlinge halten (57,3 %) oder erhöhen (23,5%).</w:t>
      </w:r>
      <w:r w:rsidR="00B2766A">
        <w:t xml:space="preserve"> Knapp die Hälfte der Unternehmen berichtet weiter von unbesetzten Ausbildungsplätzen.</w:t>
      </w:r>
    </w:p>
    <w:p w14:paraId="6C03BCBC" w14:textId="5C6BD9E9" w:rsidR="00370963" w:rsidRDefault="00370963" w:rsidP="00370963">
      <w:r w:rsidRPr="00A953E3">
        <w:t xml:space="preserve">Es sind zwei Faktoren, die die Bauunternehmer an einer hohen Ausbildungsbereitschaft festhalten lassen, -die demografischen Herausforderungen, die die Belegschaften altersbedingt sinken lassen und „erneuert“ werden müssen einerseits </w:t>
      </w:r>
      <w:r w:rsidR="007C3050">
        <w:t xml:space="preserve">- </w:t>
      </w:r>
      <w:r w:rsidRPr="00A953E3">
        <w:t xml:space="preserve">und die potentiell hohen Baubedarfe andererseits. Ob Infrastruktur oder Wohnungsbau, der Neubau- und Sanierungsbedarf ist hoch. </w:t>
      </w:r>
    </w:p>
    <w:p w14:paraId="3C920F8F" w14:textId="0F45909F" w:rsidR="00102916" w:rsidRPr="00102916" w:rsidRDefault="00102916" w:rsidP="0019518D">
      <w:pPr>
        <w:rPr>
          <w:iCs/>
          <w:color w:val="0197C6"/>
        </w:rPr>
      </w:pPr>
      <w:r w:rsidRPr="00102916">
        <w:rPr>
          <w:iCs/>
          <w:color w:val="0197C6"/>
        </w:rPr>
        <w:lastRenderedPageBreak/>
        <w:t xml:space="preserve">Veränderung </w:t>
      </w:r>
      <w:r w:rsidRPr="00102916">
        <w:rPr>
          <w:b/>
          <w:bCs/>
          <w:iCs/>
          <w:color w:val="0197C6"/>
        </w:rPr>
        <w:t xml:space="preserve">Zahl der Lehrlinge </w:t>
      </w:r>
      <w:r w:rsidRPr="00102916">
        <w:rPr>
          <w:iCs/>
          <w:color w:val="0197C6"/>
        </w:rPr>
        <w:t xml:space="preserve">aktuelles Jahr </w:t>
      </w:r>
      <w:proofErr w:type="spellStart"/>
      <w:r w:rsidRPr="00102916">
        <w:rPr>
          <w:iCs/>
          <w:color w:val="0197C6"/>
        </w:rPr>
        <w:t>ggü</w:t>
      </w:r>
      <w:proofErr w:type="spellEnd"/>
      <w:r w:rsidRPr="00102916">
        <w:rPr>
          <w:iCs/>
          <w:color w:val="0197C6"/>
        </w:rPr>
        <w:t xml:space="preserve">. </w:t>
      </w:r>
      <w:proofErr w:type="spellStart"/>
      <w:r w:rsidRPr="00102916">
        <w:rPr>
          <w:iCs/>
          <w:color w:val="0197C6"/>
        </w:rPr>
        <w:t>Vj</w:t>
      </w:r>
      <w:proofErr w:type="spellEnd"/>
      <w:r w:rsidRPr="00102916">
        <w:rPr>
          <w:iCs/>
          <w:color w:val="0197C6"/>
        </w:rPr>
        <w:t>.</w:t>
      </w:r>
    </w:p>
    <w:p w14:paraId="1F9983B3" w14:textId="444BDA5B" w:rsidR="00102916" w:rsidRDefault="00102916" w:rsidP="0019518D">
      <w:pPr>
        <w:rPr>
          <w:i/>
        </w:rPr>
      </w:pPr>
      <w:r w:rsidRPr="00102916">
        <w:rPr>
          <w:i/>
          <w:noProof/>
        </w:rPr>
        <w:drawing>
          <wp:inline distT="0" distB="0" distL="0" distR="0" wp14:anchorId="2D04A156" wp14:editId="7C9E96A4">
            <wp:extent cx="3960000" cy="1800000"/>
            <wp:effectExtent l="0" t="0" r="2540" b="10160"/>
            <wp:docPr id="84101422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A06FDB7" w14:textId="095A334E" w:rsidR="00102916" w:rsidRPr="00102916" w:rsidRDefault="00102916" w:rsidP="0019518D">
      <w:pPr>
        <w:rPr>
          <w:iCs/>
          <w:color w:val="0197C6"/>
        </w:rPr>
      </w:pPr>
      <w:r w:rsidRPr="00102916">
        <w:rPr>
          <w:b/>
          <w:bCs/>
          <w:iCs/>
          <w:color w:val="0197C6"/>
        </w:rPr>
        <w:t xml:space="preserve">Unbesetzte Ausbildungsplätze </w:t>
      </w:r>
      <w:r w:rsidRPr="00102916">
        <w:rPr>
          <w:iCs/>
          <w:color w:val="0197C6"/>
        </w:rPr>
        <w:t>im Unternehmen</w:t>
      </w:r>
    </w:p>
    <w:p w14:paraId="215B0C52" w14:textId="53B98744" w:rsidR="00102916" w:rsidRDefault="00102916" w:rsidP="0019518D">
      <w:pPr>
        <w:rPr>
          <w:i/>
        </w:rPr>
      </w:pPr>
      <w:r w:rsidRPr="00102916">
        <w:rPr>
          <w:noProof/>
        </w:rPr>
        <w:drawing>
          <wp:inline distT="0" distB="0" distL="0" distR="0" wp14:anchorId="0F871432" wp14:editId="69C66AC4">
            <wp:extent cx="3960000" cy="1800000"/>
            <wp:effectExtent l="0" t="0" r="2540" b="10160"/>
            <wp:docPr id="1602708257"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F01D66E" w14:textId="4A6BAB5A" w:rsidR="0019518D" w:rsidRPr="003B4863" w:rsidRDefault="0019518D" w:rsidP="0019518D">
      <w:pPr>
        <w:rPr>
          <w:i/>
        </w:rPr>
      </w:pPr>
      <w:r w:rsidRPr="003B4863">
        <w:rPr>
          <w:i/>
        </w:rPr>
        <w:t>Investitionen in Maschinen, Geräte und Digitalisierung</w:t>
      </w:r>
    </w:p>
    <w:p w14:paraId="448C2316" w14:textId="291DBF9A" w:rsidR="0019518D" w:rsidRDefault="0019518D" w:rsidP="0019518D">
      <w:r w:rsidRPr="00B8336E">
        <w:t>Der Anteil der Unternehmen</w:t>
      </w:r>
      <w:r>
        <w:t>,</w:t>
      </w:r>
      <w:r w:rsidRPr="00B8336E">
        <w:t xml:space="preserve"> die ihre Investitionen in </w:t>
      </w:r>
      <w:r w:rsidRPr="00730A76">
        <w:rPr>
          <w:i/>
          <w:iCs/>
        </w:rPr>
        <w:t>Geräte und Maschinen</w:t>
      </w:r>
      <w:r>
        <w:t xml:space="preserve"> in 2024 ausgebaut oder zumindest gehalten haben, ist noch einmal gesunken – auf 57 %; (Vorjahr 60 %). Etwa 14 % der Unternehmen haben dabei ihre Investitionsbudgets erhöht, etwa 43</w:t>
      </w:r>
      <w:r w:rsidR="007C3050">
        <w:t xml:space="preserve"> </w:t>
      </w:r>
      <w:r>
        <w:t>% haben die Budgets gehalten. Diese dürften in erster Linie in Bestandsersatz geflossen sein. Auch in 2025 wollen knapp 60 % der Unternehmen ihre Investitionen in Maschinen und Geräte aufstocken bzw. halten. Der Anteil der Unternehmen</w:t>
      </w:r>
      <w:r w:rsidR="007C3050">
        <w:t>,</w:t>
      </w:r>
      <w:r>
        <w:t xml:space="preserve"> der aufstocken will, halbiert sich allerdings auf ca. 6 Prozent.</w:t>
      </w:r>
    </w:p>
    <w:p w14:paraId="4F2AD6C3" w14:textId="753BB9DA" w:rsidR="0019518D" w:rsidRDefault="0019518D" w:rsidP="0019518D">
      <w:r>
        <w:t>Bei der Digitalisierung ha</w:t>
      </w:r>
      <w:r w:rsidR="007C3050">
        <w:t>lten</w:t>
      </w:r>
      <w:r>
        <w:t xml:space="preserve"> in 2024</w:t>
      </w:r>
      <w:r w:rsidR="006767A0">
        <w:t xml:space="preserve"> und 2025</w:t>
      </w:r>
      <w:r>
        <w:t xml:space="preserve"> </w:t>
      </w:r>
      <w:r w:rsidR="006767A0">
        <w:t>etwa</w:t>
      </w:r>
      <w:r>
        <w:t xml:space="preserve"> 70 Prozent der Unternehmen ihre Investitionsbudgets aufrecht</w:t>
      </w:r>
      <w:r w:rsidR="00876A08">
        <w:t>, auch wenn der Anteil der Unternehmen</w:t>
      </w:r>
      <w:r w:rsidR="007C3050">
        <w:t>,</w:t>
      </w:r>
      <w:r w:rsidR="00876A08">
        <w:t xml:space="preserve"> die mehr investieren w</w:t>
      </w:r>
      <w:r w:rsidR="007C3050">
        <w:t>ollen,</w:t>
      </w:r>
      <w:r w:rsidR="00876A08">
        <w:t xml:space="preserve"> zurückgeht.</w:t>
      </w:r>
      <w:r>
        <w:t xml:space="preserve"> </w:t>
      </w:r>
    </w:p>
    <w:p w14:paraId="1E6DD847" w14:textId="19B3EAB5" w:rsidR="00102916" w:rsidRPr="00102916" w:rsidRDefault="00102916" w:rsidP="0019518D">
      <w:pPr>
        <w:rPr>
          <w:color w:val="0197C6"/>
        </w:rPr>
      </w:pPr>
      <w:r w:rsidRPr="00102916">
        <w:rPr>
          <w:color w:val="0197C6"/>
        </w:rPr>
        <w:t xml:space="preserve">Veränderung </w:t>
      </w:r>
      <w:r w:rsidRPr="00102916">
        <w:rPr>
          <w:b/>
          <w:bCs/>
          <w:color w:val="0197C6"/>
        </w:rPr>
        <w:t>Investitionen</w:t>
      </w:r>
      <w:r w:rsidRPr="00102916">
        <w:rPr>
          <w:color w:val="0197C6"/>
        </w:rPr>
        <w:t xml:space="preserve"> 2024 </w:t>
      </w:r>
      <w:proofErr w:type="spellStart"/>
      <w:r w:rsidRPr="00102916">
        <w:rPr>
          <w:color w:val="0197C6"/>
        </w:rPr>
        <w:t>ggü</w:t>
      </w:r>
      <w:proofErr w:type="spellEnd"/>
      <w:r w:rsidRPr="00102916">
        <w:rPr>
          <w:color w:val="0197C6"/>
        </w:rPr>
        <w:t>. 2023</w:t>
      </w:r>
    </w:p>
    <w:p w14:paraId="0DA41225" w14:textId="42C65D00" w:rsidR="00102916" w:rsidRDefault="00102916" w:rsidP="0019518D">
      <w:r w:rsidRPr="00102916">
        <w:rPr>
          <w:noProof/>
        </w:rPr>
        <w:drawing>
          <wp:inline distT="0" distB="0" distL="0" distR="0" wp14:anchorId="4EEAADEE" wp14:editId="4156CF68">
            <wp:extent cx="3960000" cy="1800000"/>
            <wp:effectExtent l="0" t="0" r="2540" b="10160"/>
            <wp:docPr id="1052065872"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B7F90F8" w14:textId="77777777" w:rsidR="004346B3" w:rsidRDefault="004346B3" w:rsidP="0019518D"/>
    <w:p w14:paraId="6FCB4804" w14:textId="40D88702" w:rsidR="004346B3" w:rsidRPr="004346B3" w:rsidRDefault="004346B3" w:rsidP="0019518D">
      <w:pPr>
        <w:rPr>
          <w:color w:val="0197C6"/>
        </w:rPr>
      </w:pPr>
      <w:r w:rsidRPr="004346B3">
        <w:rPr>
          <w:color w:val="0197C6"/>
        </w:rPr>
        <w:lastRenderedPageBreak/>
        <w:t xml:space="preserve">Veränderung </w:t>
      </w:r>
      <w:r w:rsidRPr="004346B3">
        <w:rPr>
          <w:b/>
          <w:bCs/>
          <w:color w:val="0197C6"/>
        </w:rPr>
        <w:t xml:space="preserve">Investitionen </w:t>
      </w:r>
      <w:r w:rsidRPr="004346B3">
        <w:rPr>
          <w:color w:val="0197C6"/>
        </w:rPr>
        <w:t xml:space="preserve">2025 </w:t>
      </w:r>
      <w:proofErr w:type="spellStart"/>
      <w:r w:rsidRPr="004346B3">
        <w:rPr>
          <w:color w:val="0197C6"/>
        </w:rPr>
        <w:t>ggü</w:t>
      </w:r>
      <w:proofErr w:type="spellEnd"/>
      <w:r w:rsidRPr="004346B3">
        <w:rPr>
          <w:color w:val="0197C6"/>
        </w:rPr>
        <w:t>. 2024</w:t>
      </w:r>
    </w:p>
    <w:p w14:paraId="034E8149" w14:textId="02581C7F" w:rsidR="004346B3" w:rsidRDefault="004346B3" w:rsidP="0019518D">
      <w:r w:rsidRPr="004346B3">
        <w:rPr>
          <w:noProof/>
        </w:rPr>
        <w:drawing>
          <wp:inline distT="0" distB="0" distL="0" distR="0" wp14:anchorId="0949F447" wp14:editId="6F21DEAE">
            <wp:extent cx="3960000" cy="1620000"/>
            <wp:effectExtent l="0" t="0" r="2540" b="18415"/>
            <wp:docPr id="1502753364"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84C6FC8" w14:textId="77777777" w:rsidR="00370963" w:rsidRPr="00FE3BF1" w:rsidRDefault="00370963" w:rsidP="00370963">
      <w:pPr>
        <w:rPr>
          <w:b/>
          <w:i/>
        </w:rPr>
      </w:pPr>
      <w:r w:rsidRPr="00FE3BF1">
        <w:rPr>
          <w:b/>
          <w:i/>
        </w:rPr>
        <w:t>Einkaufs- und Verkaufspreise (Fragen 19-24)</w:t>
      </w:r>
    </w:p>
    <w:p w14:paraId="0D45FC10" w14:textId="0653987A" w:rsidR="00A42B85" w:rsidRDefault="00A42B85" w:rsidP="00370963">
      <w:r>
        <w:t xml:space="preserve">Die Entwicklung der Einkaufspreise sehen die Unternehmen aktuell und in den kommenden Monaten ganz überwiegend mit </w:t>
      </w:r>
      <w:r w:rsidR="00FE3BF1">
        <w:t xml:space="preserve">leicht </w:t>
      </w:r>
      <w:r>
        <w:t xml:space="preserve">steigender Tendenz. Das Preisniveau wird bei vielen Einkaufsprodukten weiterhin als hoch charakterisiert. Das trifft insbesondere auf erdölbasierte Produkte wie Bitumen aber auch auf energieintensive Produkte wie Beton und Zement zu. Das bestätigt auch die Entwicklung </w:t>
      </w:r>
      <w:r w:rsidR="00712BF8">
        <w:t xml:space="preserve">der Erzeugerpreisindizes. </w:t>
      </w:r>
    </w:p>
    <w:p w14:paraId="498ACB12" w14:textId="04B63B92" w:rsidR="00A42B85" w:rsidRDefault="00712BF8" w:rsidP="00370963">
      <w:r>
        <w:t>Die Verfügbarkeit von Einkaufsprodukten ist im hohen Maße gegeben. Einzig bei Baumaschinen meldet ein Viertel der Unternehmen lange Lieferfristen.</w:t>
      </w:r>
    </w:p>
    <w:p w14:paraId="307E3349" w14:textId="582A8614" w:rsidR="00370963" w:rsidRDefault="00370963" w:rsidP="00370963">
      <w:r w:rsidRPr="00375994">
        <w:t xml:space="preserve">Wegen steigende Materialpreise </w:t>
      </w:r>
      <w:r>
        <w:t>sieht</w:t>
      </w:r>
      <w:r w:rsidRPr="00375994">
        <w:t xml:space="preserve"> sich </w:t>
      </w:r>
      <w:r>
        <w:t>ein Drittel der</w:t>
      </w:r>
      <w:r w:rsidRPr="00375994">
        <w:t xml:space="preserve"> Unternehmen auch gezwungen, ihrerseits die </w:t>
      </w:r>
      <w:r w:rsidRPr="008F79CE">
        <w:rPr>
          <w:i/>
          <w:iCs/>
        </w:rPr>
        <w:t>Preise für Bauleistungen</w:t>
      </w:r>
      <w:r w:rsidRPr="00375994">
        <w:t xml:space="preserve"> weiter anzupassen. </w:t>
      </w:r>
      <w:r>
        <w:t>Etwa 1</w:t>
      </w:r>
      <w:r w:rsidR="00FE3BF1">
        <w:t>3</w:t>
      </w:r>
      <w:r>
        <w:t xml:space="preserve"> % der Unternehmen sehen steigenden Wettbewerbsdruck infolge der nachlassenden Nachfrage im Hochbau und planen Preissenkungen. </w:t>
      </w:r>
      <w:r w:rsidR="00FE3BF1">
        <w:t>Gut d</w:t>
      </w:r>
      <w:r>
        <w:t>ie Hälfte der Unternehmen geht davon aus, die</w:t>
      </w:r>
      <w:r w:rsidRPr="00375994">
        <w:t xml:space="preserve"> Baupreise</w:t>
      </w:r>
      <w:r>
        <w:t xml:space="preserve"> zu halten</w:t>
      </w:r>
      <w:r w:rsidRPr="00375994">
        <w:t>.</w:t>
      </w:r>
      <w:r>
        <w:t xml:space="preserve"> </w:t>
      </w:r>
    </w:p>
    <w:p w14:paraId="233400F6" w14:textId="012F50BD" w:rsidR="004346B3" w:rsidRPr="004346B3" w:rsidRDefault="004346B3" w:rsidP="00370963">
      <w:pPr>
        <w:rPr>
          <w:color w:val="0197C6"/>
        </w:rPr>
      </w:pPr>
      <w:r w:rsidRPr="004346B3">
        <w:rPr>
          <w:color w:val="0197C6"/>
        </w:rPr>
        <w:t xml:space="preserve">Entwicklung der </w:t>
      </w:r>
      <w:r w:rsidRPr="004346B3">
        <w:rPr>
          <w:b/>
          <w:bCs/>
          <w:color w:val="0197C6"/>
        </w:rPr>
        <w:t>Einkaufspreise</w:t>
      </w:r>
      <w:r w:rsidRPr="004346B3">
        <w:rPr>
          <w:color w:val="0197C6"/>
        </w:rPr>
        <w:t xml:space="preserve"> in den </w:t>
      </w:r>
      <w:r w:rsidRPr="004346B3">
        <w:rPr>
          <w:color w:val="0197C6"/>
          <w:u w:val="single"/>
        </w:rPr>
        <w:t>letzten 3</w:t>
      </w:r>
      <w:r w:rsidRPr="004346B3">
        <w:rPr>
          <w:color w:val="0197C6"/>
        </w:rPr>
        <w:t xml:space="preserve"> Monaten</w:t>
      </w:r>
    </w:p>
    <w:p w14:paraId="5F3D21D2" w14:textId="50C48C93" w:rsidR="004346B3" w:rsidRDefault="004346B3" w:rsidP="00370963">
      <w:r w:rsidRPr="004346B3">
        <w:rPr>
          <w:noProof/>
        </w:rPr>
        <w:drawing>
          <wp:inline distT="0" distB="0" distL="0" distR="0" wp14:anchorId="1F51C7BC" wp14:editId="289FD356">
            <wp:extent cx="3960000" cy="1620000"/>
            <wp:effectExtent l="0" t="0" r="2540" b="18415"/>
            <wp:docPr id="409397337"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7E9BD30" w14:textId="7DCC04BE" w:rsidR="004346B3" w:rsidRPr="004346B3" w:rsidRDefault="004346B3" w:rsidP="00370963">
      <w:pPr>
        <w:rPr>
          <w:color w:val="0197C6"/>
        </w:rPr>
      </w:pPr>
      <w:r w:rsidRPr="004346B3">
        <w:rPr>
          <w:color w:val="0197C6"/>
        </w:rPr>
        <w:t xml:space="preserve">Entwicklung der </w:t>
      </w:r>
      <w:r w:rsidRPr="004346B3">
        <w:rPr>
          <w:b/>
          <w:bCs/>
          <w:color w:val="0197C6"/>
        </w:rPr>
        <w:t>Einkaufspreise</w:t>
      </w:r>
      <w:r w:rsidRPr="004346B3">
        <w:rPr>
          <w:color w:val="0197C6"/>
        </w:rPr>
        <w:t xml:space="preserve"> in den </w:t>
      </w:r>
      <w:r w:rsidRPr="004346B3">
        <w:rPr>
          <w:color w:val="0197C6"/>
          <w:u w:val="single"/>
        </w:rPr>
        <w:t>nächsten</w:t>
      </w:r>
      <w:r w:rsidRPr="004346B3">
        <w:rPr>
          <w:color w:val="0197C6"/>
        </w:rPr>
        <w:t xml:space="preserve"> Monaten</w:t>
      </w:r>
    </w:p>
    <w:p w14:paraId="3E504731" w14:textId="7118A072" w:rsidR="004346B3" w:rsidRDefault="004346B3" w:rsidP="00370963">
      <w:r w:rsidRPr="004346B3">
        <w:rPr>
          <w:noProof/>
        </w:rPr>
        <w:drawing>
          <wp:inline distT="0" distB="0" distL="0" distR="0" wp14:anchorId="58D025CE" wp14:editId="1CA1CC4E">
            <wp:extent cx="3960000" cy="1800000"/>
            <wp:effectExtent l="0" t="0" r="2540" b="10160"/>
            <wp:docPr id="1094948833"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6B9DB5E" w14:textId="26F0A2BD" w:rsidR="004346B3" w:rsidRDefault="004346B3" w:rsidP="00370963">
      <w:pPr>
        <w:rPr>
          <w:b/>
          <w:bCs/>
          <w:color w:val="0197C6"/>
        </w:rPr>
      </w:pPr>
      <w:r w:rsidRPr="004346B3">
        <w:rPr>
          <w:b/>
          <w:bCs/>
          <w:color w:val="0197C6"/>
        </w:rPr>
        <w:lastRenderedPageBreak/>
        <w:t>Aktuelle Preisentwicklung Produkte</w:t>
      </w:r>
    </w:p>
    <w:p w14:paraId="20E12BA1" w14:textId="5770D8F8" w:rsidR="004346B3" w:rsidRDefault="004346B3" w:rsidP="00370963">
      <w:pPr>
        <w:rPr>
          <w:color w:val="0197C6"/>
        </w:rPr>
      </w:pPr>
      <w:r w:rsidRPr="004346B3">
        <w:rPr>
          <w:noProof/>
          <w:color w:val="0197C6"/>
        </w:rPr>
        <w:drawing>
          <wp:inline distT="0" distB="0" distL="0" distR="0" wp14:anchorId="1F407DE2" wp14:editId="4E0994D1">
            <wp:extent cx="3960000" cy="1872000"/>
            <wp:effectExtent l="0" t="0" r="2540" b="13970"/>
            <wp:docPr id="1027592720"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9B5DBFC" w14:textId="26FAC02D" w:rsidR="004346B3" w:rsidRDefault="004346B3" w:rsidP="00370963">
      <w:pPr>
        <w:rPr>
          <w:b/>
          <w:bCs/>
          <w:color w:val="0197C6"/>
        </w:rPr>
      </w:pPr>
      <w:r w:rsidRPr="004346B3">
        <w:rPr>
          <w:b/>
          <w:bCs/>
          <w:color w:val="0197C6"/>
        </w:rPr>
        <w:t>Verfügbarkeit Produkte</w:t>
      </w:r>
    </w:p>
    <w:p w14:paraId="44DF4B19" w14:textId="25EA9D75" w:rsidR="004346B3" w:rsidRDefault="004346B3" w:rsidP="00370963">
      <w:pPr>
        <w:rPr>
          <w:color w:val="0197C6"/>
        </w:rPr>
      </w:pPr>
      <w:r w:rsidRPr="004346B3">
        <w:rPr>
          <w:noProof/>
          <w:color w:val="0197C6"/>
        </w:rPr>
        <w:drawing>
          <wp:inline distT="0" distB="0" distL="0" distR="0" wp14:anchorId="34A768CC" wp14:editId="4BBD4F70">
            <wp:extent cx="3960000" cy="1980000"/>
            <wp:effectExtent l="0" t="0" r="2540" b="1270"/>
            <wp:docPr id="1611716196"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AD0DACD" w14:textId="3D49A4D3" w:rsidR="004346B3" w:rsidRDefault="004346B3" w:rsidP="00370963">
      <w:pPr>
        <w:rPr>
          <w:color w:val="0197C6"/>
        </w:rPr>
      </w:pPr>
      <w:r w:rsidRPr="004346B3">
        <w:rPr>
          <w:color w:val="0197C6"/>
        </w:rPr>
        <w:t xml:space="preserve">Die </w:t>
      </w:r>
      <w:r w:rsidRPr="004346B3">
        <w:rPr>
          <w:b/>
          <w:bCs/>
          <w:color w:val="0197C6"/>
        </w:rPr>
        <w:t xml:space="preserve">Verkaufspreise </w:t>
      </w:r>
      <w:r w:rsidRPr="004346B3">
        <w:rPr>
          <w:color w:val="0197C6"/>
        </w:rPr>
        <w:t xml:space="preserve">haben wir in den </w:t>
      </w:r>
      <w:r w:rsidRPr="004346B3">
        <w:rPr>
          <w:b/>
          <w:bCs/>
          <w:color w:val="0197C6"/>
        </w:rPr>
        <w:t>letzten 3 Monaten</w:t>
      </w:r>
    </w:p>
    <w:p w14:paraId="655999E6" w14:textId="486E70CE" w:rsidR="004346B3" w:rsidRDefault="004346B3" w:rsidP="00370963">
      <w:pPr>
        <w:rPr>
          <w:color w:val="0197C6"/>
        </w:rPr>
      </w:pPr>
      <w:r w:rsidRPr="004346B3">
        <w:rPr>
          <w:noProof/>
          <w:color w:val="0197C6"/>
        </w:rPr>
        <w:drawing>
          <wp:inline distT="0" distB="0" distL="0" distR="0" wp14:anchorId="4FEA5ABD" wp14:editId="113CE755">
            <wp:extent cx="3960000" cy="1728000"/>
            <wp:effectExtent l="0" t="0" r="2540" b="5715"/>
            <wp:docPr id="750407447"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D755760" w14:textId="4C51FA01" w:rsidR="004346B3" w:rsidRDefault="004346B3" w:rsidP="00370963">
      <w:pPr>
        <w:rPr>
          <w:color w:val="0197C6"/>
        </w:rPr>
      </w:pPr>
      <w:r w:rsidRPr="004346B3">
        <w:rPr>
          <w:color w:val="0197C6"/>
        </w:rPr>
        <w:t>Die</w:t>
      </w:r>
      <w:r w:rsidRPr="004346B3">
        <w:rPr>
          <w:b/>
          <w:bCs/>
          <w:color w:val="0197C6"/>
        </w:rPr>
        <w:t xml:space="preserve"> Verkaufspreise </w:t>
      </w:r>
      <w:r w:rsidRPr="004346B3">
        <w:rPr>
          <w:color w:val="0197C6"/>
        </w:rPr>
        <w:t xml:space="preserve">werden wir in den </w:t>
      </w:r>
      <w:r w:rsidRPr="004346B3">
        <w:rPr>
          <w:b/>
          <w:bCs/>
          <w:color w:val="0197C6"/>
        </w:rPr>
        <w:t>kommenden Monaten</w:t>
      </w:r>
    </w:p>
    <w:p w14:paraId="12C5B010" w14:textId="1F9625F9" w:rsidR="004346B3" w:rsidRPr="004346B3" w:rsidRDefault="004346B3" w:rsidP="00370963">
      <w:pPr>
        <w:rPr>
          <w:color w:val="0197C6"/>
        </w:rPr>
      </w:pPr>
      <w:r w:rsidRPr="004346B3">
        <w:rPr>
          <w:noProof/>
          <w:color w:val="0197C6"/>
        </w:rPr>
        <w:drawing>
          <wp:inline distT="0" distB="0" distL="0" distR="0" wp14:anchorId="5E3B936D" wp14:editId="6D9E82AD">
            <wp:extent cx="3960000" cy="1728000"/>
            <wp:effectExtent l="0" t="0" r="2540" b="5715"/>
            <wp:docPr id="35828655"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4336238" w14:textId="5D0EE190" w:rsidR="00370963" w:rsidRPr="00A37D68" w:rsidRDefault="00370963" w:rsidP="00370963">
      <w:pPr>
        <w:rPr>
          <w:b/>
          <w:i/>
        </w:rPr>
      </w:pPr>
      <w:r w:rsidRPr="00A37D68">
        <w:rPr>
          <w:b/>
          <w:i/>
        </w:rPr>
        <w:lastRenderedPageBreak/>
        <w:t>Behinderung der Bautätigkeit; Frage 25</w:t>
      </w:r>
    </w:p>
    <w:p w14:paraId="36933CE8" w14:textId="2F0109CA" w:rsidR="00146FAE" w:rsidRDefault="00E7280D" w:rsidP="00370963">
      <w:pPr>
        <w:rPr>
          <w:color w:val="000000" w:themeColor="text1"/>
        </w:rPr>
      </w:pPr>
      <w:r>
        <w:rPr>
          <w:color w:val="000000" w:themeColor="text1"/>
        </w:rPr>
        <w:t>Wie bereits im Vorjahr bleibt der Auftragsmangel der herausragende Baubehinderungsgrund. Der Wert ist sogar noch einmal gestiegen von knapp 60 % auf 62 %. Dabei liegt der Wert</w:t>
      </w:r>
      <w:r w:rsidR="007C3050">
        <w:rPr>
          <w:color w:val="000000" w:themeColor="text1"/>
        </w:rPr>
        <w:t>,</w:t>
      </w:r>
      <w:r>
        <w:rPr>
          <w:color w:val="000000" w:themeColor="text1"/>
        </w:rPr>
        <w:t xml:space="preserve"> der von den Tiefbauunternehmen </w:t>
      </w:r>
      <w:r w:rsidR="00A81C76">
        <w:rPr>
          <w:color w:val="000000" w:themeColor="text1"/>
        </w:rPr>
        <w:t xml:space="preserve">zum Auftragsmangel </w:t>
      </w:r>
      <w:r>
        <w:rPr>
          <w:color w:val="000000" w:themeColor="text1"/>
        </w:rPr>
        <w:t>zurückgemeldet wird</w:t>
      </w:r>
      <w:r w:rsidR="007C3050">
        <w:rPr>
          <w:color w:val="000000" w:themeColor="text1"/>
        </w:rPr>
        <w:t>,</w:t>
      </w:r>
      <w:r>
        <w:rPr>
          <w:color w:val="000000" w:themeColor="text1"/>
        </w:rPr>
        <w:t xml:space="preserve"> „nur“ bei 40</w:t>
      </w:r>
      <w:r w:rsidR="007C3050">
        <w:rPr>
          <w:color w:val="000000" w:themeColor="text1"/>
        </w:rPr>
        <w:t xml:space="preserve"> </w:t>
      </w:r>
      <w:r>
        <w:rPr>
          <w:color w:val="000000" w:themeColor="text1"/>
        </w:rPr>
        <w:t>%.</w:t>
      </w:r>
    </w:p>
    <w:p w14:paraId="31780E36" w14:textId="7A6C0C5D" w:rsidR="00E7280D" w:rsidRDefault="00E7280D" w:rsidP="00370963">
      <w:pPr>
        <w:rPr>
          <w:color w:val="000000" w:themeColor="text1"/>
        </w:rPr>
      </w:pPr>
      <w:r>
        <w:rPr>
          <w:color w:val="000000" w:themeColor="text1"/>
        </w:rPr>
        <w:t>An zweiter Stelle rangiert weiter der Fachkräftemangel</w:t>
      </w:r>
      <w:r w:rsidR="00E669A0">
        <w:rPr>
          <w:color w:val="000000" w:themeColor="text1"/>
        </w:rPr>
        <w:t xml:space="preserve"> mit knapp 50 % der Rückmeldungen</w:t>
      </w:r>
      <w:r>
        <w:rPr>
          <w:color w:val="000000" w:themeColor="text1"/>
        </w:rPr>
        <w:t xml:space="preserve">. </w:t>
      </w:r>
      <w:r w:rsidR="00E669A0">
        <w:rPr>
          <w:color w:val="000000" w:themeColor="text1"/>
        </w:rPr>
        <w:t xml:space="preserve">Für die Tiefbauunternehmen ist es der wichtigste Baubehinderungsgrund, über 60 % von ihnen haben hier </w:t>
      </w:r>
      <w:r w:rsidR="00A37D68">
        <w:rPr>
          <w:color w:val="000000" w:themeColor="text1"/>
        </w:rPr>
        <w:t>„</w:t>
      </w:r>
      <w:r w:rsidR="00E669A0">
        <w:rPr>
          <w:color w:val="000000" w:themeColor="text1"/>
        </w:rPr>
        <w:t>ein Kreuz gemacht</w:t>
      </w:r>
      <w:r w:rsidR="00A37D68">
        <w:rPr>
          <w:color w:val="000000" w:themeColor="text1"/>
        </w:rPr>
        <w:t>“</w:t>
      </w:r>
      <w:r w:rsidR="00E669A0">
        <w:rPr>
          <w:color w:val="000000" w:themeColor="text1"/>
        </w:rPr>
        <w:t xml:space="preserve">. </w:t>
      </w:r>
    </w:p>
    <w:p w14:paraId="5B08F7D7" w14:textId="65BE06C2" w:rsidR="00146FAE" w:rsidRDefault="00D36273" w:rsidP="00370963">
      <w:pPr>
        <w:rPr>
          <w:color w:val="000000" w:themeColor="text1"/>
        </w:rPr>
      </w:pPr>
      <w:r>
        <w:rPr>
          <w:color w:val="000000" w:themeColor="text1"/>
        </w:rPr>
        <w:t>Verzögerungen bei Baugene</w:t>
      </w:r>
      <w:r w:rsidR="00B475A0">
        <w:rPr>
          <w:color w:val="000000" w:themeColor="text1"/>
        </w:rPr>
        <w:t>h</w:t>
      </w:r>
      <w:r>
        <w:rPr>
          <w:color w:val="000000" w:themeColor="text1"/>
        </w:rPr>
        <w:t xml:space="preserve">migungen </w:t>
      </w:r>
      <w:r w:rsidR="00B475A0">
        <w:rPr>
          <w:color w:val="000000" w:themeColor="text1"/>
        </w:rPr>
        <w:t>sehen über 40 Prozent der Bauunternehmen auf Platz drei der Baubehinderungsgründe, dicht gefolgt von Finanzierungsschwierigkeiten wegen unzureichender Förderung (Platz 4) oder restriktivem Bankenverhalten (Platz 6).</w:t>
      </w:r>
    </w:p>
    <w:p w14:paraId="5AFEEFF2" w14:textId="030F9BA1" w:rsidR="00B475A0" w:rsidRDefault="00B475A0" w:rsidP="00370963">
      <w:pPr>
        <w:rPr>
          <w:color w:val="000000" w:themeColor="text1"/>
        </w:rPr>
      </w:pPr>
      <w:r>
        <w:rPr>
          <w:color w:val="000000" w:themeColor="text1"/>
        </w:rPr>
        <w:t>Ein hoher Krankenstand hindert die Unternehmen, ihre Aufträge zügig abzuarbeiten</w:t>
      </w:r>
      <w:r w:rsidR="00FE1512">
        <w:rPr>
          <w:color w:val="000000" w:themeColor="text1"/>
        </w:rPr>
        <w:t xml:space="preserve"> (Platz 5)</w:t>
      </w:r>
      <w:r>
        <w:rPr>
          <w:color w:val="000000" w:themeColor="text1"/>
        </w:rPr>
        <w:t xml:space="preserve">. Über die Hälfte der Unternehmen hat in den letzten Jahren einen steigenden Krankenstand im Unternehmen zu verzeichnen. </w:t>
      </w:r>
    </w:p>
    <w:p w14:paraId="6BD9B638" w14:textId="016219B1" w:rsidR="00915A5F" w:rsidRPr="00915A5F" w:rsidRDefault="00915A5F" w:rsidP="00370963">
      <w:pPr>
        <w:rPr>
          <w:color w:val="0197C6"/>
        </w:rPr>
      </w:pPr>
      <w:r w:rsidRPr="00915A5F">
        <w:rPr>
          <w:b/>
          <w:bCs/>
          <w:color w:val="0197C6"/>
        </w:rPr>
        <w:t xml:space="preserve">Behinderung Bautätigkeit </w:t>
      </w:r>
      <w:r w:rsidRPr="00915A5F">
        <w:rPr>
          <w:color w:val="0197C6"/>
        </w:rPr>
        <w:t>aktuell durch:</w:t>
      </w:r>
    </w:p>
    <w:p w14:paraId="2B6BD3DB" w14:textId="59C9198C" w:rsidR="00915A5F" w:rsidRDefault="00915A5F" w:rsidP="00370963">
      <w:pPr>
        <w:rPr>
          <w:color w:val="000000" w:themeColor="text1"/>
        </w:rPr>
      </w:pPr>
      <w:r w:rsidRPr="00915A5F">
        <w:rPr>
          <w:noProof/>
          <w:color w:val="000000" w:themeColor="text1"/>
        </w:rPr>
        <w:drawing>
          <wp:inline distT="0" distB="0" distL="0" distR="0" wp14:anchorId="12E5F684" wp14:editId="07B754F6">
            <wp:extent cx="3960000" cy="1800000"/>
            <wp:effectExtent l="0" t="0" r="2540" b="10160"/>
            <wp:docPr id="1269052977" name="Diagramm 1">
              <a:extLst xmlns:a="http://schemas.openxmlformats.org/drawingml/2006/main">
                <a:ext uri="{FF2B5EF4-FFF2-40B4-BE49-F238E27FC236}">
                  <a16:creationId xmlns:a16="http://schemas.microsoft.com/office/drawing/2014/main" id="{00000000-0008-0000-0000-00005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99E128C" w14:textId="667BA0BE" w:rsidR="00915A5F" w:rsidRDefault="00915A5F" w:rsidP="00370963">
      <w:pPr>
        <w:rPr>
          <w:color w:val="000000" w:themeColor="text1"/>
        </w:rPr>
      </w:pPr>
      <w:r w:rsidRPr="00915A5F">
        <w:rPr>
          <w:noProof/>
          <w:color w:val="000000" w:themeColor="text1"/>
        </w:rPr>
        <w:drawing>
          <wp:inline distT="0" distB="0" distL="0" distR="0" wp14:anchorId="2FD286A5" wp14:editId="6276163E">
            <wp:extent cx="3960000" cy="1800000"/>
            <wp:effectExtent l="0" t="0" r="2540" b="10160"/>
            <wp:docPr id="1034098049"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sectPr w:rsidR="00915A5F" w:rsidSect="00867E69">
      <w:footerReference w:type="first" r:id="rId3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A83CF" w14:textId="77777777" w:rsidR="00370963" w:rsidRDefault="00370963" w:rsidP="005E70BF">
      <w:pPr>
        <w:spacing w:after="0" w:line="240" w:lineRule="auto"/>
      </w:pPr>
      <w:r>
        <w:separator/>
      </w:r>
    </w:p>
  </w:endnote>
  <w:endnote w:type="continuationSeparator" w:id="0">
    <w:p w14:paraId="7B502B0D" w14:textId="77777777" w:rsidR="00370963" w:rsidRDefault="00370963" w:rsidP="005E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Calibri"/>
    <w:panose1 w:val="020B0503040302060204"/>
    <w:charset w:val="00"/>
    <w:family w:val="swiss"/>
    <w:pitch w:val="variable"/>
    <w:sig w:usb0="800000A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869B3" w14:textId="77777777" w:rsidR="00867E69" w:rsidRDefault="00867E69" w:rsidP="00867E69">
    <w:pPr>
      <w:pStyle w:val="berschrift2"/>
      <w:rPr>
        <w:rFonts w:ascii="TheSansOffice" w:hAnsi="TheSansOffice"/>
        <w:b w:val="0"/>
      </w:rPr>
    </w:pPr>
  </w:p>
  <w:p w14:paraId="692BD3AA" w14:textId="77777777" w:rsidR="00867E69" w:rsidRDefault="00867E69" w:rsidP="00867E69">
    <w:pPr>
      <w:pStyle w:val="berschrift2"/>
      <w:rPr>
        <w:rFonts w:ascii="TheSansOffice" w:hAnsi="TheSansOffice"/>
        <w:b w:val="0"/>
      </w:rPr>
    </w:pPr>
    <w:proofErr w:type="spellStart"/>
    <w:r w:rsidRPr="005C137D">
      <w:rPr>
        <w:rFonts w:ascii="TheSansOffice" w:hAnsi="TheSansOffice"/>
        <w:b w:val="0"/>
      </w:rPr>
      <w:t>V.i.S.d.P</w:t>
    </w:r>
    <w:proofErr w:type="spellEnd"/>
    <w:r w:rsidRPr="005C137D">
      <w:rPr>
        <w:rFonts w:ascii="TheSansOffice" w:hAnsi="TheSansOffice"/>
        <w:b w:val="0"/>
      </w:rPr>
      <w:t>.:</w:t>
    </w:r>
    <w:r>
      <w:rPr>
        <w:rFonts w:ascii="TheSansOffice" w:hAnsi="TheSansOffice"/>
        <w:b w:val="0"/>
      </w:rPr>
      <w:t xml:space="preserve"> Iris Rabe, </w:t>
    </w:r>
  </w:p>
  <w:p w14:paraId="51640037" w14:textId="77777777" w:rsidR="00867E69" w:rsidRDefault="00867E69" w:rsidP="00867E69">
    <w:pPr>
      <w:pStyle w:val="berschrift2"/>
      <w:rPr>
        <w:rFonts w:ascii="TheSansOffice" w:hAnsi="TheSansOffice"/>
        <w:b w:val="0"/>
      </w:rPr>
    </w:pPr>
    <w:r>
      <w:rPr>
        <w:rFonts w:ascii="TheSansOffice" w:hAnsi="TheSansOffice"/>
        <w:b w:val="0"/>
      </w:rPr>
      <w:t xml:space="preserve">Zentralverband Deutsches Baugewerbe, Kronenstraße 55 – 58, 10117 Berlin, </w:t>
    </w:r>
  </w:p>
  <w:p w14:paraId="0469278F" w14:textId="77777777" w:rsidR="00867E69" w:rsidRPr="00667243" w:rsidRDefault="00867E69" w:rsidP="00867E69">
    <w:pPr>
      <w:pStyle w:val="berschrift2"/>
      <w:rPr>
        <w:rFonts w:ascii="TheSansOffice" w:hAnsi="TheSansOffice"/>
        <w:b w:val="0"/>
        <w:lang w:val="en-US"/>
      </w:rPr>
    </w:pPr>
    <w:r>
      <w:rPr>
        <w:rFonts w:ascii="TheSansOffice" w:hAnsi="TheSansOffice"/>
        <w:b w:val="0"/>
        <w:lang w:val="en-US"/>
      </w:rPr>
      <w:t xml:space="preserve">Tel.: 030 203 14-408, Email: </w:t>
    </w:r>
    <w:hyperlink r:id="rId1" w:history="1">
      <w:r w:rsidRPr="00DF2ADD">
        <w:rPr>
          <w:rStyle w:val="Hyperlink"/>
          <w:rFonts w:ascii="TheSansOffice" w:hAnsi="TheSansOffice"/>
          <w:b w:val="0"/>
          <w:lang w:val="en-US"/>
        </w:rPr>
        <w:t>presse@zdb.de</w:t>
      </w:r>
    </w:hyperlink>
    <w:r>
      <w:rPr>
        <w:rFonts w:ascii="TheSansOffice" w:hAnsi="TheSansOffice"/>
        <w:b w:val="0"/>
        <w:lang w:val="en-US"/>
      </w:rPr>
      <w:t xml:space="preserve"> | </w:t>
    </w:r>
    <w:hyperlink r:id="rId2" w:history="1">
      <w:r w:rsidRPr="00DF2ADD">
        <w:rPr>
          <w:rStyle w:val="Hyperlink"/>
          <w:rFonts w:ascii="TheSansOffice" w:hAnsi="TheSansOffice"/>
          <w:b w:val="0"/>
          <w:lang w:val="en-US"/>
        </w:rPr>
        <w:t>www.zdb.de</w:t>
      </w:r>
    </w:hyperlink>
    <w:r>
      <w:rPr>
        <w:rFonts w:ascii="TheSansOffice" w:hAnsi="TheSansOffice"/>
        <w:b w:val="0"/>
        <w:lang w:val="en-US"/>
      </w:rPr>
      <w:t xml:space="preserve"> </w:t>
    </w:r>
  </w:p>
  <w:p w14:paraId="7323E3D5" w14:textId="77777777" w:rsidR="00867E69" w:rsidRPr="00867E69" w:rsidRDefault="00867E69">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5BAEF" w14:textId="77777777" w:rsidR="00370963" w:rsidRDefault="00370963" w:rsidP="005E70BF">
      <w:pPr>
        <w:spacing w:after="0" w:line="240" w:lineRule="auto"/>
      </w:pPr>
      <w:r>
        <w:separator/>
      </w:r>
    </w:p>
  </w:footnote>
  <w:footnote w:type="continuationSeparator" w:id="0">
    <w:p w14:paraId="6179662C" w14:textId="77777777" w:rsidR="00370963" w:rsidRDefault="00370963" w:rsidP="005E70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63"/>
    <w:rsid w:val="00014454"/>
    <w:rsid w:val="00023726"/>
    <w:rsid w:val="000436DE"/>
    <w:rsid w:val="00084A3B"/>
    <w:rsid w:val="000D6176"/>
    <w:rsid w:val="00102916"/>
    <w:rsid w:val="00110FFF"/>
    <w:rsid w:val="0012753A"/>
    <w:rsid w:val="00146FAE"/>
    <w:rsid w:val="00167655"/>
    <w:rsid w:val="00187EB4"/>
    <w:rsid w:val="0019518D"/>
    <w:rsid w:val="001F08A1"/>
    <w:rsid w:val="001F7898"/>
    <w:rsid w:val="002243F4"/>
    <w:rsid w:val="00235FA4"/>
    <w:rsid w:val="00265296"/>
    <w:rsid w:val="00280FD1"/>
    <w:rsid w:val="002E759D"/>
    <w:rsid w:val="002F46AD"/>
    <w:rsid w:val="00344D77"/>
    <w:rsid w:val="00355983"/>
    <w:rsid w:val="003634C3"/>
    <w:rsid w:val="00370963"/>
    <w:rsid w:val="00381B73"/>
    <w:rsid w:val="00383F29"/>
    <w:rsid w:val="003A1268"/>
    <w:rsid w:val="003D4531"/>
    <w:rsid w:val="003F1C4F"/>
    <w:rsid w:val="00420685"/>
    <w:rsid w:val="004346B3"/>
    <w:rsid w:val="00482F14"/>
    <w:rsid w:val="004C1938"/>
    <w:rsid w:val="004E7F99"/>
    <w:rsid w:val="005157CE"/>
    <w:rsid w:val="0059472C"/>
    <w:rsid w:val="005D3B1E"/>
    <w:rsid w:val="005E70BF"/>
    <w:rsid w:val="0061342D"/>
    <w:rsid w:val="006316C0"/>
    <w:rsid w:val="006767A0"/>
    <w:rsid w:val="00696C9D"/>
    <w:rsid w:val="006D3535"/>
    <w:rsid w:val="00712BF8"/>
    <w:rsid w:val="007573EC"/>
    <w:rsid w:val="00794BEA"/>
    <w:rsid w:val="007A028D"/>
    <w:rsid w:val="007C200E"/>
    <w:rsid w:val="007C3050"/>
    <w:rsid w:val="007F6181"/>
    <w:rsid w:val="00815824"/>
    <w:rsid w:val="00827670"/>
    <w:rsid w:val="0084482E"/>
    <w:rsid w:val="00863BC9"/>
    <w:rsid w:val="00867E69"/>
    <w:rsid w:val="00876A08"/>
    <w:rsid w:val="008777BB"/>
    <w:rsid w:val="008A2161"/>
    <w:rsid w:val="008A2ED1"/>
    <w:rsid w:val="008F2711"/>
    <w:rsid w:val="008F57A9"/>
    <w:rsid w:val="00915A5F"/>
    <w:rsid w:val="00977D27"/>
    <w:rsid w:val="00996534"/>
    <w:rsid w:val="009B5B86"/>
    <w:rsid w:val="00A37D68"/>
    <w:rsid w:val="00A42B85"/>
    <w:rsid w:val="00A81C76"/>
    <w:rsid w:val="00AA6BCE"/>
    <w:rsid w:val="00AF6432"/>
    <w:rsid w:val="00B0087F"/>
    <w:rsid w:val="00B10FDE"/>
    <w:rsid w:val="00B2766A"/>
    <w:rsid w:val="00B475A0"/>
    <w:rsid w:val="00B91736"/>
    <w:rsid w:val="00B9619F"/>
    <w:rsid w:val="00BE5458"/>
    <w:rsid w:val="00C03E64"/>
    <w:rsid w:val="00CB0BAB"/>
    <w:rsid w:val="00CB3E34"/>
    <w:rsid w:val="00CF3E8C"/>
    <w:rsid w:val="00D36273"/>
    <w:rsid w:val="00D5119F"/>
    <w:rsid w:val="00DE34FB"/>
    <w:rsid w:val="00E15642"/>
    <w:rsid w:val="00E65F63"/>
    <w:rsid w:val="00E669A0"/>
    <w:rsid w:val="00E7280D"/>
    <w:rsid w:val="00E96891"/>
    <w:rsid w:val="00EB6091"/>
    <w:rsid w:val="00F34E1B"/>
    <w:rsid w:val="00F67A52"/>
    <w:rsid w:val="00FE1512"/>
    <w:rsid w:val="00FE3BF1"/>
    <w:rsid w:val="00FE47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5D34"/>
  <w15:chartTrackingRefBased/>
  <w15:docId w15:val="{A1D90B59-15F5-4DE4-AFDE-1A2331D2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0963"/>
    <w:rPr>
      <w:kern w:val="0"/>
      <w14:ligatures w14:val="none"/>
    </w:rPr>
  </w:style>
  <w:style w:type="paragraph" w:styleId="berschrift2">
    <w:name w:val="heading 2"/>
    <w:aliases w:val="Fußzeile PM"/>
    <w:basedOn w:val="Standard"/>
    <w:next w:val="Standard"/>
    <w:link w:val="berschrift2Zchn"/>
    <w:qFormat/>
    <w:rsid w:val="00867E69"/>
    <w:pPr>
      <w:keepNext/>
      <w:keepLines/>
      <w:spacing w:after="0" w:line="240" w:lineRule="auto"/>
      <w:outlineLvl w:val="1"/>
    </w:pPr>
    <w:rPr>
      <w:rFonts w:ascii="Arial" w:eastAsia="Times New Roman" w:hAnsi="Arial" w:cs="Times New Roman"/>
      <w:b/>
      <w:bCs/>
      <w:sz w:val="18"/>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70BF"/>
    <w:pPr>
      <w:tabs>
        <w:tab w:val="center" w:pos="4536"/>
        <w:tab w:val="right" w:pos="9072"/>
      </w:tabs>
      <w:spacing w:after="0" w:line="240" w:lineRule="auto"/>
    </w:pPr>
    <w:rPr>
      <w:kern w:val="2"/>
      <w14:ligatures w14:val="standardContextual"/>
    </w:rPr>
  </w:style>
  <w:style w:type="character" w:customStyle="1" w:styleId="KopfzeileZchn">
    <w:name w:val="Kopfzeile Zchn"/>
    <w:basedOn w:val="Absatz-Standardschriftart"/>
    <w:link w:val="Kopfzeile"/>
    <w:uiPriority w:val="99"/>
    <w:rsid w:val="005E70BF"/>
  </w:style>
  <w:style w:type="paragraph" w:styleId="Fuzeile">
    <w:name w:val="footer"/>
    <w:basedOn w:val="Standard"/>
    <w:link w:val="FuzeileZchn"/>
    <w:uiPriority w:val="99"/>
    <w:unhideWhenUsed/>
    <w:rsid w:val="005E70BF"/>
    <w:pPr>
      <w:tabs>
        <w:tab w:val="center" w:pos="4536"/>
        <w:tab w:val="right" w:pos="9072"/>
      </w:tabs>
      <w:spacing w:after="0" w:line="240" w:lineRule="auto"/>
    </w:pPr>
    <w:rPr>
      <w:kern w:val="2"/>
      <w14:ligatures w14:val="standardContextual"/>
    </w:rPr>
  </w:style>
  <w:style w:type="character" w:customStyle="1" w:styleId="FuzeileZchn">
    <w:name w:val="Fußzeile Zchn"/>
    <w:basedOn w:val="Absatz-Standardschriftart"/>
    <w:link w:val="Fuzeile"/>
    <w:uiPriority w:val="99"/>
    <w:rsid w:val="005E70BF"/>
  </w:style>
  <w:style w:type="paragraph" w:customStyle="1" w:styleId="KeinLeerraum1">
    <w:name w:val="Kein Leerraum1"/>
    <w:aliases w:val="Pressetext-neu,No Spacing"/>
    <w:qFormat/>
    <w:rsid w:val="00CB0BAB"/>
    <w:pPr>
      <w:spacing w:before="120" w:after="0" w:line="260" w:lineRule="exact"/>
    </w:pPr>
    <w:rPr>
      <w:rFonts w:ascii="TheSansOffice" w:eastAsia="Times New Roman" w:hAnsi="TheSansOffice" w:cs="Times New Roman"/>
      <w:kern w:val="0"/>
      <w:szCs w:val="20"/>
      <w:lang w:eastAsia="de-DE"/>
      <w14:ligatures w14:val="none"/>
    </w:rPr>
  </w:style>
  <w:style w:type="character" w:customStyle="1" w:styleId="berschrift2Zchn">
    <w:name w:val="Überschrift 2 Zchn"/>
    <w:aliases w:val="Fußzeile PM Zchn"/>
    <w:basedOn w:val="Absatz-Standardschriftart"/>
    <w:link w:val="berschrift2"/>
    <w:rsid w:val="00867E69"/>
    <w:rPr>
      <w:rFonts w:ascii="Arial" w:eastAsia="Times New Roman" w:hAnsi="Arial" w:cs="Times New Roman"/>
      <w:b/>
      <w:bCs/>
      <w:kern w:val="0"/>
      <w:sz w:val="18"/>
      <w:szCs w:val="26"/>
      <w:lang w:eastAsia="de-DE"/>
      <w14:ligatures w14:val="none"/>
    </w:rPr>
  </w:style>
  <w:style w:type="character" w:styleId="Hyperlink">
    <w:name w:val="Hyperlink"/>
    <w:basedOn w:val="Absatz-Standardschriftart"/>
    <w:uiPriority w:val="99"/>
    <w:unhideWhenUsed/>
    <w:rsid w:val="00867E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44359">
      <w:bodyDiv w:val="1"/>
      <w:marLeft w:val="0"/>
      <w:marRight w:val="0"/>
      <w:marTop w:val="0"/>
      <w:marBottom w:val="0"/>
      <w:divBdr>
        <w:top w:val="none" w:sz="0" w:space="0" w:color="auto"/>
        <w:left w:val="none" w:sz="0" w:space="0" w:color="auto"/>
        <w:bottom w:val="none" w:sz="0" w:space="0" w:color="auto"/>
        <w:right w:val="none" w:sz="0" w:space="0" w:color="auto"/>
      </w:divBdr>
    </w:div>
    <w:div w:id="375396544">
      <w:bodyDiv w:val="1"/>
      <w:marLeft w:val="0"/>
      <w:marRight w:val="0"/>
      <w:marTop w:val="0"/>
      <w:marBottom w:val="0"/>
      <w:divBdr>
        <w:top w:val="none" w:sz="0" w:space="0" w:color="auto"/>
        <w:left w:val="none" w:sz="0" w:space="0" w:color="auto"/>
        <w:bottom w:val="none" w:sz="0" w:space="0" w:color="auto"/>
        <w:right w:val="none" w:sz="0" w:space="0" w:color="auto"/>
      </w:divBdr>
    </w:div>
    <w:div w:id="86687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21" Type="http://schemas.openxmlformats.org/officeDocument/2006/relationships/chart" Target="charts/chart14.xml"/><Relationship Id="rId34" Type="http://schemas.openxmlformats.org/officeDocument/2006/relationships/chart" Target="charts/chart27.xml"/><Relationship Id="rId7" Type="http://schemas.openxmlformats.org/officeDocument/2006/relationships/image" Target="media/image1.jpeg"/><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footer" Target="footer1.xml"/><Relationship Id="rId8" Type="http://schemas.openxmlformats.org/officeDocument/2006/relationships/chart" Target="charts/chart1.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zdb.de" TargetMode="External"/><Relationship Id="rId1" Type="http://schemas.openxmlformats.org/officeDocument/2006/relationships/hyperlink" Target="mailto:presse@zdb.d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W2K19-030ZDB\wi\3_Rohwedder\Konjunkturumfragen\2024%20Herbst\Auswertung%20GESAMT%2025112024_1647_ROH.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SW2K19-030ZDB\wi\3_Rohwedder\Konjunkturumfragen\2024%20Herbst\Auswertung%20GESAMT%2025112024_1647_ROH.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SW2K19-030ZDB\wi\3_Rohwedder\Konjunkturumfragen\2024%20Herbst\Auswertung%20GESAMT%2025112024_1647_ROH.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SW2K19-030ZDB\wi\3_Rohwedder\Konjunkturumfragen\2024%20Herbst\Auswertung%20GESAMT%2025112024_1647_ROH.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SW2K19-030ZDB\wi\3_Rohwedder\Konjunkturumfragen\2024%20Herbst\Auswertung%20GESAMT%2025112024_1647_ROH.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SW2K19-030ZDB\wi\3_Rohwedder\Konjunkturumfragen\2024%20Herbst\Auswertung%20GESAMT%2025112024_1647_ROH.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SW2K19-030ZDB\wi\3_Rohwedder\Konjunkturumfragen\2024%20Herbst\Auswertung%20GESAMT%2025112024_1647_ROH.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SW2K19-030ZDB\wi\3_Rohwedder\Konjunkturumfragen\2024%20Herbst\Auswertung%20GESAMT%2025112024_1647_ROH.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SW2K19-030ZDB\wi\3_Rohwedder\Konjunkturumfragen\2024%20Herbst\Auswertung%20GESAMT%2025112024_1647_ROH.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SW2K19-030ZDB\wi\3_Rohwedder\Konjunkturumfragen\2024%20Herbst\Auswertung%20GESAMT%2025112024_1647_ROH.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SW2K19-030ZDB\wi\3_Rohwedder\Konjunkturumfragen\2024%20Herbst\Auswertung%20GESAMT%2025112024_1647_ROH.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SW2K19-030ZDB\wi\3_Rohwedder\Konjunkturumfragen\2024%20Herbst\Auswertung%20GESAMT%2025112024_1647_ROH.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SW2K19-030ZDB\wi\3_Rohwedder\Konjunkturumfragen\2024%20Herbst\Auswertung%20GESAMT%2025112024_1647_ROH.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SW2K19-030ZDB\wi\3_Rohwedder\Konjunkturumfragen\2024%20Herbst\Auswertung%20GESAMT%2025112024_1647_ROH.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SW2K19-030ZDB\wi\3_Rohwedder\Konjunkturumfragen\2024%20Herbst\Auswertung%20GESAMT%2025112024_1647_ROH.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SW2K19-030ZDB\wi\3_Rohwedder\Konjunkturumfragen\2024%20Herbst\Auswertung%20GESAMT%2025112024_1647_ROH.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SW2K19-030ZDB\wi\3_Rohwedder\Konjunkturumfragen\2024%20Herbst\Auswertung%20GESAMT%2025112024_1647_ROH.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SW2K19-030ZDB\wi\3_Rohwedder\Konjunkturumfragen\2024%20Herbst\Auswertung%20GESAMT%2025112024_1647_ROH.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SW2K19-030ZDB\wi\3_Rohwedder\Konjunkturumfragen\2024%20Herbst\Auswertung%20GESAMT%202024%2012%2003_ROH.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SW2K19-030ZDB\wi\3_Rohwedder\Konjunkturumfragen\2024%20Herbst\Auswertung%20GESAMT%2025112024_1647_ROH.xlsx" TargetMode="External"/><Relationship Id="rId2" Type="http://schemas.microsoft.com/office/2011/relationships/chartColorStyle" Target="colors27.xml"/><Relationship Id="rId1" Type="http://schemas.microsoft.com/office/2011/relationships/chartStyle" Target="style27.xml"/></Relationships>
</file>

<file path=word/charts/_rels/chart3.xml.rels><?xml version="1.0" encoding="UTF-8" standalone="yes"?>
<Relationships xmlns="http://schemas.openxmlformats.org/package/2006/relationships"><Relationship Id="rId3" Type="http://schemas.openxmlformats.org/officeDocument/2006/relationships/oleObject" Target="file:///\\SW2K19-030ZDB\wi\3_Rohwedder\Konjunkturumfragen\2024%20Herbst\Auswertung%20GESAMT%2025112024_1647_RO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SW2K19-030ZDB\wi\3_Rohwedder\Konjunkturumfragen\2024%20Herbst\Auswertung%20GESAMT%2025112024_1647_ROH.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SW2K19-030ZDB\wi\3_Rohwedder\Konjunkturumfragen\2024%20Herbst\Auswertung%20GESAMT%202024%2012%2003_ROH.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SW2K19-030ZDB\wi\3_Rohwedder\Konjunkturumfragen\2024%20Herbst\Auswertung%20GESAMT%2025112024_1647_ROH.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SW2K19-030ZDB\wi\3_Rohwedder\Konjunkturumfragen\2024%20Herbst\Auswertung%20GESAMT%202024%2012%2003_ROH.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SW2K19-030ZDB\wi\3_Rohwedder\Konjunkturumfragen\2024%20Herbst\Auswertung%20GESAMT%2025112024_1647_ROH.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SW2K19-030ZDB\wi\3_Rohwedder\Konjunkturumfragen\2024%20Herbst\Auswertung%20GESAMT%2025112024_1647_ROH.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r>
              <a:rPr lang="de-DE"/>
              <a:t>Unser Unternehmen ist tätig </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barChart>
        <c:barDir val="col"/>
        <c:grouping val="clustered"/>
        <c:varyColors val="0"/>
        <c:ser>
          <c:idx val="0"/>
          <c:order val="0"/>
          <c:spPr>
            <a:solidFill>
              <a:srgbClr val="0197C6"/>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gesamt!$D$24:$D$27</c:f>
              <c:strCache>
                <c:ptCount val="4"/>
                <c:pt idx="0">
                  <c:v>im Hochbau</c:v>
                </c:pt>
                <c:pt idx="1">
                  <c:v>im Tiefbau</c:v>
                </c:pt>
                <c:pt idx="2">
                  <c:v>im Hoch- und Tiefbau</c:v>
                </c:pt>
                <c:pt idx="3">
                  <c:v>im Ausbau</c:v>
                </c:pt>
              </c:strCache>
            </c:strRef>
          </c:cat>
          <c:val>
            <c:numRef>
              <c:f>gesamt!$G$24:$G$27</c:f>
              <c:numCache>
                <c:formatCode>0.0%</c:formatCode>
                <c:ptCount val="4"/>
                <c:pt idx="0">
                  <c:v>0.53166869671132766</c:v>
                </c:pt>
                <c:pt idx="1">
                  <c:v>0.11693057247259439</c:v>
                </c:pt>
                <c:pt idx="2">
                  <c:v>0.17783191230207065</c:v>
                </c:pt>
                <c:pt idx="3">
                  <c:v>0.17356881851400729</c:v>
                </c:pt>
              </c:numCache>
            </c:numRef>
          </c:val>
          <c:extLst>
            <c:ext xmlns:c16="http://schemas.microsoft.com/office/drawing/2014/chart" uri="{C3380CC4-5D6E-409C-BE32-E72D297353CC}">
              <c16:uniqueId val="{00000000-23F2-4D5E-B2A4-471645DDFAE6}"/>
            </c:ext>
          </c:extLst>
        </c:ser>
        <c:dLbls>
          <c:showLegendKey val="0"/>
          <c:showVal val="0"/>
          <c:showCatName val="0"/>
          <c:showSerName val="0"/>
          <c:showPercent val="0"/>
          <c:showBubbleSize val="0"/>
        </c:dLbls>
        <c:gapWidth val="219"/>
        <c:overlap val="-27"/>
        <c:axId val="634059560"/>
        <c:axId val="634066120"/>
      </c:barChart>
      <c:catAx>
        <c:axId val="634059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crossAx val="634066120"/>
        <c:crosses val="autoZero"/>
        <c:auto val="1"/>
        <c:lblAlgn val="ctr"/>
        <c:lblOffset val="100"/>
        <c:noMultiLvlLbl val="0"/>
      </c:catAx>
      <c:valAx>
        <c:axId val="634066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crossAx val="634059560"/>
        <c:crosses val="autoZero"/>
        <c:crossBetween val="between"/>
      </c:valAx>
      <c:spPr>
        <a:solidFill>
          <a:sysClr val="window" lastClr="FFFFFF"/>
        </a:solidFill>
        <a:ln>
          <a:noFill/>
        </a:ln>
        <a:effectLst/>
      </c:spPr>
    </c:plotArea>
    <c:plotVisOnly val="1"/>
    <c:dispBlanksAs val="gap"/>
    <c:showDLblsOverMax val="0"/>
  </c:chart>
  <c:spPr>
    <a:solidFill>
      <a:srgbClr val="DBEEF4"/>
    </a:solidFill>
    <a:ln w="9525" cap="flat" cmpd="sng" algn="ctr">
      <a:solidFill>
        <a:schemeClr val="tx1">
          <a:lumMod val="15000"/>
          <a:lumOff val="85000"/>
        </a:schemeClr>
      </a:solidFill>
      <a:round/>
    </a:ln>
    <a:effectLst/>
  </c:spPr>
  <c:txPr>
    <a:bodyPr/>
    <a:lstStyle/>
    <a:p>
      <a:pPr>
        <a:defRPr sz="800">
          <a:solidFill>
            <a:schemeClr val="tx1">
              <a:lumMod val="65000"/>
              <a:lumOff val="35000"/>
            </a:schemeClr>
          </a:solidFill>
        </a:defRPr>
      </a:pPr>
      <a:endParaRPr lang="de-D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gesamt!$E$375</c:f>
              <c:strCache>
                <c:ptCount val="1"/>
                <c:pt idx="0">
                  <c:v>deutlich höher</c:v>
                </c:pt>
              </c:strCache>
            </c:strRef>
          </c:tx>
          <c:spPr>
            <a:solidFill>
              <a:srgbClr val="0197C6"/>
            </a:solidFill>
            <a:ln>
              <a:noFill/>
            </a:ln>
            <a:effectLst/>
          </c:spPr>
          <c:invertIfNegative val="0"/>
          <c:dLbls>
            <c:dLbl>
              <c:idx val="0"/>
              <c:layout>
                <c:manualLayout>
                  <c:x val="-1.925369674990645E-2"/>
                  <c:y val="-4.679937285349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44C-419C-9FEE-172303AB0CC9}"/>
                </c:ext>
              </c:extLst>
            </c:dLbl>
            <c:dLbl>
              <c:idx val="1"/>
              <c:layout>
                <c:manualLayout>
                  <c:x val="-1.1325703970533193E-3"/>
                  <c:y val="-4.43362479664674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44C-419C-9FEE-172303AB0CC9}"/>
                </c:ext>
              </c:extLst>
            </c:dLbl>
            <c:dLbl>
              <c:idx val="2"/>
              <c:layout>
                <c:manualLayout>
                  <c:x val="-2.0763550750334096E-17"/>
                  <c:y val="-4.679937285349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44C-419C-9FEE-172303AB0CC9}"/>
                </c:ext>
              </c:extLst>
            </c:dLbl>
            <c:dLbl>
              <c:idx val="3"/>
              <c:layout>
                <c:manualLayout>
                  <c:x val="-2.2651407941066595E-3"/>
                  <c:y val="-5.4188747514571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44C-419C-9FEE-172303AB0CC9}"/>
                </c:ext>
              </c:extLst>
            </c:dLbl>
            <c:dLbl>
              <c:idx val="4"/>
              <c:layout>
                <c:manualLayout>
                  <c:x val="-2.2651407941066386E-3"/>
                  <c:y val="-4.67993728534933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44C-419C-9FEE-172303AB0CC9}"/>
                </c:ext>
              </c:extLst>
            </c:dLbl>
            <c:dLbl>
              <c:idx val="5"/>
              <c:layout>
                <c:manualLayout>
                  <c:x val="-4.5302815882132981E-3"/>
                  <c:y val="-4.18731230794414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44C-419C-9FEE-172303AB0CC9}"/>
                </c:ext>
              </c:extLst>
            </c:dLbl>
            <c:dLbl>
              <c:idx val="6"/>
              <c:layout>
                <c:manualLayout>
                  <c:x val="2.0763550750334096E-17"/>
                  <c:y val="-3.69468733053894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44C-419C-9FEE-172303AB0CC9}"/>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gesamt!$D$376:$D$382</c:f>
              <c:strCache>
                <c:ptCount val="7"/>
                <c:pt idx="0">
                  <c:v>Ausbau</c:v>
                </c:pt>
                <c:pt idx="1">
                  <c:v>sonst. Tiefbau</c:v>
                </c:pt>
                <c:pt idx="2">
                  <c:v>Straßenbau</c:v>
                </c:pt>
                <c:pt idx="3">
                  <c:v>öffentlicher Hochbau</c:v>
                </c:pt>
                <c:pt idx="4">
                  <c:v>Wirtschaftsbau</c:v>
                </c:pt>
                <c:pt idx="5">
                  <c:v>Wohnungsbau</c:v>
                </c:pt>
                <c:pt idx="6">
                  <c:v>Insgesamt</c:v>
                </c:pt>
              </c:strCache>
            </c:strRef>
          </c:cat>
          <c:val>
            <c:numRef>
              <c:f>gesamt!$E$376:$E$382</c:f>
              <c:numCache>
                <c:formatCode>0.0%</c:formatCode>
                <c:ptCount val="7"/>
                <c:pt idx="0">
                  <c:v>3.9379474940334128E-2</c:v>
                </c:pt>
                <c:pt idx="1">
                  <c:v>1.5384615384615385E-2</c:v>
                </c:pt>
                <c:pt idx="2">
                  <c:v>4.2643923240938165E-3</c:v>
                </c:pt>
                <c:pt idx="3">
                  <c:v>1.4789533560864619E-2</c:v>
                </c:pt>
                <c:pt idx="4">
                  <c:v>1.9348268839103868E-2</c:v>
                </c:pt>
                <c:pt idx="5">
                  <c:v>1.6260162601626018E-2</c:v>
                </c:pt>
                <c:pt idx="6">
                  <c:v>1.9193106149627888E-2</c:v>
                </c:pt>
              </c:numCache>
            </c:numRef>
          </c:val>
          <c:extLst>
            <c:ext xmlns:c16="http://schemas.microsoft.com/office/drawing/2014/chart" uri="{C3380CC4-5D6E-409C-BE32-E72D297353CC}">
              <c16:uniqueId val="{00000007-644C-419C-9FEE-172303AB0CC9}"/>
            </c:ext>
          </c:extLst>
        </c:ser>
        <c:ser>
          <c:idx val="1"/>
          <c:order val="1"/>
          <c:tx>
            <c:strRef>
              <c:f>gesamt!$F$375</c:f>
              <c:strCache>
                <c:ptCount val="1"/>
                <c:pt idx="0">
                  <c:v>etwas höher</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gesamt!$D$376:$D$382</c:f>
              <c:strCache>
                <c:ptCount val="7"/>
                <c:pt idx="0">
                  <c:v>Ausbau</c:v>
                </c:pt>
                <c:pt idx="1">
                  <c:v>sonst. Tiefbau</c:v>
                </c:pt>
                <c:pt idx="2">
                  <c:v>Straßenbau</c:v>
                </c:pt>
                <c:pt idx="3">
                  <c:v>öffentlicher Hochbau</c:v>
                </c:pt>
                <c:pt idx="4">
                  <c:v>Wirtschaftsbau</c:v>
                </c:pt>
                <c:pt idx="5">
                  <c:v>Wohnungsbau</c:v>
                </c:pt>
                <c:pt idx="6">
                  <c:v>Insgesamt</c:v>
                </c:pt>
              </c:strCache>
            </c:strRef>
          </c:cat>
          <c:val>
            <c:numRef>
              <c:f>gesamt!$F$376:$F$382</c:f>
              <c:numCache>
                <c:formatCode>0.0%</c:formatCode>
                <c:ptCount val="7"/>
                <c:pt idx="0">
                  <c:v>0.14797136038186157</c:v>
                </c:pt>
                <c:pt idx="1">
                  <c:v>0.1076923076923077</c:v>
                </c:pt>
                <c:pt idx="2">
                  <c:v>7.4626865671641784E-2</c:v>
                </c:pt>
                <c:pt idx="3">
                  <c:v>7.1672354948805458E-2</c:v>
                </c:pt>
                <c:pt idx="4">
                  <c:v>7.8411405295315678E-2</c:v>
                </c:pt>
                <c:pt idx="5">
                  <c:v>8.3518107908351805E-2</c:v>
                </c:pt>
                <c:pt idx="6">
                  <c:v>9.3027810419114773E-2</c:v>
                </c:pt>
              </c:numCache>
            </c:numRef>
          </c:val>
          <c:extLst>
            <c:ext xmlns:c16="http://schemas.microsoft.com/office/drawing/2014/chart" uri="{C3380CC4-5D6E-409C-BE32-E72D297353CC}">
              <c16:uniqueId val="{00000008-644C-419C-9FEE-172303AB0CC9}"/>
            </c:ext>
          </c:extLst>
        </c:ser>
        <c:ser>
          <c:idx val="2"/>
          <c:order val="2"/>
          <c:tx>
            <c:strRef>
              <c:f>gesamt!$G$375</c:f>
              <c:strCache>
                <c:ptCount val="1"/>
                <c:pt idx="0">
                  <c:v>unverändert</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gesamt!$D$376:$D$382</c:f>
              <c:strCache>
                <c:ptCount val="7"/>
                <c:pt idx="0">
                  <c:v>Ausbau</c:v>
                </c:pt>
                <c:pt idx="1">
                  <c:v>sonst. Tiefbau</c:v>
                </c:pt>
                <c:pt idx="2">
                  <c:v>Straßenbau</c:v>
                </c:pt>
                <c:pt idx="3">
                  <c:v>öffentlicher Hochbau</c:v>
                </c:pt>
                <c:pt idx="4">
                  <c:v>Wirtschaftsbau</c:v>
                </c:pt>
                <c:pt idx="5">
                  <c:v>Wohnungsbau</c:v>
                </c:pt>
                <c:pt idx="6">
                  <c:v>Insgesamt</c:v>
                </c:pt>
              </c:strCache>
            </c:strRef>
          </c:cat>
          <c:val>
            <c:numRef>
              <c:f>gesamt!$G$376:$G$382</c:f>
              <c:numCache>
                <c:formatCode>0.0%</c:formatCode>
                <c:ptCount val="7"/>
                <c:pt idx="0">
                  <c:v>0.36157517899761338</c:v>
                </c:pt>
                <c:pt idx="1">
                  <c:v>0.40683760683760684</c:v>
                </c:pt>
                <c:pt idx="2">
                  <c:v>0.40085287846481876</c:v>
                </c:pt>
                <c:pt idx="3">
                  <c:v>0.22184300341296928</c:v>
                </c:pt>
                <c:pt idx="4">
                  <c:v>0.23930753564154786</c:v>
                </c:pt>
                <c:pt idx="5">
                  <c:v>0.21803399852180341</c:v>
                </c:pt>
                <c:pt idx="6">
                  <c:v>0.2847630238934587</c:v>
                </c:pt>
              </c:numCache>
            </c:numRef>
          </c:val>
          <c:extLst>
            <c:ext xmlns:c16="http://schemas.microsoft.com/office/drawing/2014/chart" uri="{C3380CC4-5D6E-409C-BE32-E72D297353CC}">
              <c16:uniqueId val="{00000009-644C-419C-9FEE-172303AB0CC9}"/>
            </c:ext>
          </c:extLst>
        </c:ser>
        <c:ser>
          <c:idx val="3"/>
          <c:order val="3"/>
          <c:tx>
            <c:strRef>
              <c:f>gesamt!$H$375</c:f>
              <c:strCache>
                <c:ptCount val="1"/>
                <c:pt idx="0">
                  <c:v>geringer</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gesamt!$D$376:$D$382</c:f>
              <c:strCache>
                <c:ptCount val="7"/>
                <c:pt idx="0">
                  <c:v>Ausbau</c:v>
                </c:pt>
                <c:pt idx="1">
                  <c:v>sonst. Tiefbau</c:v>
                </c:pt>
                <c:pt idx="2">
                  <c:v>Straßenbau</c:v>
                </c:pt>
                <c:pt idx="3">
                  <c:v>öffentlicher Hochbau</c:v>
                </c:pt>
                <c:pt idx="4">
                  <c:v>Wirtschaftsbau</c:v>
                </c:pt>
                <c:pt idx="5">
                  <c:v>Wohnungsbau</c:v>
                </c:pt>
                <c:pt idx="6">
                  <c:v>Insgesamt</c:v>
                </c:pt>
              </c:strCache>
            </c:strRef>
          </c:cat>
          <c:val>
            <c:numRef>
              <c:f>gesamt!$H$376:$H$382</c:f>
              <c:numCache>
                <c:formatCode>0.0%</c:formatCode>
                <c:ptCount val="7"/>
                <c:pt idx="0">
                  <c:v>0.2649164677804296</c:v>
                </c:pt>
                <c:pt idx="1">
                  <c:v>0.25982905982905985</c:v>
                </c:pt>
                <c:pt idx="2">
                  <c:v>0.26865671641791045</c:v>
                </c:pt>
                <c:pt idx="3">
                  <c:v>0.33447098976109213</c:v>
                </c:pt>
                <c:pt idx="4">
                  <c:v>0.35030549898167007</c:v>
                </c:pt>
                <c:pt idx="5">
                  <c:v>0.32668144863266813</c:v>
                </c:pt>
                <c:pt idx="6">
                  <c:v>0.30943987465726597</c:v>
                </c:pt>
              </c:numCache>
            </c:numRef>
          </c:val>
          <c:extLst>
            <c:ext xmlns:c16="http://schemas.microsoft.com/office/drawing/2014/chart" uri="{C3380CC4-5D6E-409C-BE32-E72D297353CC}">
              <c16:uniqueId val="{0000000A-644C-419C-9FEE-172303AB0CC9}"/>
            </c:ext>
          </c:extLst>
        </c:ser>
        <c:ser>
          <c:idx val="4"/>
          <c:order val="4"/>
          <c:tx>
            <c:strRef>
              <c:f>gesamt!$I$375</c:f>
              <c:strCache>
                <c:ptCount val="1"/>
                <c:pt idx="0">
                  <c:v>deutlich geringer</c:v>
                </c:pt>
              </c:strCache>
            </c:strRef>
          </c:tx>
          <c:spPr>
            <a:solidFill>
              <a:schemeClr val="bg2">
                <a:lumMod val="85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gesamt!$D$376:$D$382</c:f>
              <c:strCache>
                <c:ptCount val="7"/>
                <c:pt idx="0">
                  <c:v>Ausbau</c:v>
                </c:pt>
                <c:pt idx="1">
                  <c:v>sonst. Tiefbau</c:v>
                </c:pt>
                <c:pt idx="2">
                  <c:v>Straßenbau</c:v>
                </c:pt>
                <c:pt idx="3">
                  <c:v>öffentlicher Hochbau</c:v>
                </c:pt>
                <c:pt idx="4">
                  <c:v>Wirtschaftsbau</c:v>
                </c:pt>
                <c:pt idx="5">
                  <c:v>Wohnungsbau</c:v>
                </c:pt>
                <c:pt idx="6">
                  <c:v>Insgesamt</c:v>
                </c:pt>
              </c:strCache>
            </c:strRef>
          </c:cat>
          <c:val>
            <c:numRef>
              <c:f>gesamt!$I$376:$I$382</c:f>
              <c:numCache>
                <c:formatCode>0.0%</c:formatCode>
                <c:ptCount val="7"/>
                <c:pt idx="0">
                  <c:v>0.18615751789976134</c:v>
                </c:pt>
                <c:pt idx="1">
                  <c:v>0.21025641025641026</c:v>
                </c:pt>
                <c:pt idx="2">
                  <c:v>0.25159914712153519</c:v>
                </c:pt>
                <c:pt idx="3">
                  <c:v>0.35722411831626849</c:v>
                </c:pt>
                <c:pt idx="4">
                  <c:v>0.31262729124236255</c:v>
                </c:pt>
                <c:pt idx="5">
                  <c:v>0.35550628233555065</c:v>
                </c:pt>
                <c:pt idx="6">
                  <c:v>0.29357618488053272</c:v>
                </c:pt>
              </c:numCache>
            </c:numRef>
          </c:val>
          <c:extLst>
            <c:ext xmlns:c16="http://schemas.microsoft.com/office/drawing/2014/chart" uri="{C3380CC4-5D6E-409C-BE32-E72D297353CC}">
              <c16:uniqueId val="{0000000B-644C-419C-9FEE-172303AB0CC9}"/>
            </c:ext>
          </c:extLst>
        </c:ser>
        <c:dLbls>
          <c:showLegendKey val="0"/>
          <c:showVal val="0"/>
          <c:showCatName val="0"/>
          <c:showSerName val="0"/>
          <c:showPercent val="0"/>
          <c:showBubbleSize val="0"/>
        </c:dLbls>
        <c:gapWidth val="150"/>
        <c:overlap val="100"/>
        <c:axId val="634059560"/>
        <c:axId val="634066120"/>
      </c:barChart>
      <c:catAx>
        <c:axId val="634059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634066120"/>
        <c:crosses val="autoZero"/>
        <c:auto val="1"/>
        <c:lblAlgn val="ctr"/>
        <c:lblOffset val="100"/>
        <c:noMultiLvlLbl val="0"/>
      </c:catAx>
      <c:valAx>
        <c:axId val="6340661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634059560"/>
        <c:crosses val="autoZero"/>
        <c:crossBetween val="between"/>
      </c:valAx>
      <c:spPr>
        <a:solidFill>
          <a:sysClr val="window" lastClr="FFFFFF"/>
        </a:solid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legend>
    <c:plotVisOnly val="1"/>
    <c:dispBlanksAs val="gap"/>
    <c:showDLblsOverMax val="0"/>
  </c:chart>
  <c:spPr>
    <a:solidFill>
      <a:srgbClr val="DBEEF4"/>
    </a:solidFill>
    <a:ln w="9525" cap="flat" cmpd="sng" algn="ctr">
      <a:solidFill>
        <a:schemeClr val="tx1">
          <a:lumMod val="15000"/>
          <a:lumOff val="85000"/>
        </a:schemeClr>
      </a:solidFill>
      <a:round/>
    </a:ln>
    <a:effectLst/>
  </c:spPr>
  <c:txPr>
    <a:bodyPr/>
    <a:lstStyle/>
    <a:p>
      <a:pPr>
        <a:defRPr sz="700">
          <a:solidFill>
            <a:sysClr val="windowText" lastClr="000000"/>
          </a:solidFill>
        </a:defRPr>
      </a:pPr>
      <a:endParaRPr lang="de-DE"/>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gesamt!$O$382</c:f>
              <c:strCache>
                <c:ptCount val="1"/>
                <c:pt idx="0">
                  <c:v>höher</c:v>
                </c:pt>
              </c:strCache>
            </c:strRef>
          </c:tx>
          <c:spPr>
            <a:solidFill>
              <a:srgbClr val="0197C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gesamt!$N$383:$N$385</c:f>
              <c:strCache>
                <c:ptCount val="3"/>
                <c:pt idx="0">
                  <c:v>Herbstumfrage 2024</c:v>
                </c:pt>
                <c:pt idx="1">
                  <c:v>Frühjahrsumfrage 2024</c:v>
                </c:pt>
                <c:pt idx="2">
                  <c:v>Herbstumfrage 2023</c:v>
                </c:pt>
              </c:strCache>
            </c:strRef>
          </c:cat>
          <c:val>
            <c:numRef>
              <c:f>gesamt!$O$383:$O$385</c:f>
              <c:numCache>
                <c:formatCode>0.0%</c:formatCode>
                <c:ptCount val="3"/>
                <c:pt idx="0">
                  <c:v>0.11222091656874267</c:v>
                </c:pt>
                <c:pt idx="1">
                  <c:v>8.9400000000000007E-2</c:v>
                </c:pt>
                <c:pt idx="2">
                  <c:v>0.155</c:v>
                </c:pt>
              </c:numCache>
            </c:numRef>
          </c:val>
          <c:extLst>
            <c:ext xmlns:c16="http://schemas.microsoft.com/office/drawing/2014/chart" uri="{C3380CC4-5D6E-409C-BE32-E72D297353CC}">
              <c16:uniqueId val="{00000000-B58A-437D-A20C-14B43C187924}"/>
            </c:ext>
          </c:extLst>
        </c:ser>
        <c:ser>
          <c:idx val="1"/>
          <c:order val="1"/>
          <c:tx>
            <c:strRef>
              <c:f>gesamt!$P$382</c:f>
              <c:strCache>
                <c:ptCount val="1"/>
                <c:pt idx="0">
                  <c:v>unverändert</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gesamt!$N$383:$N$385</c:f>
              <c:strCache>
                <c:ptCount val="3"/>
                <c:pt idx="0">
                  <c:v>Herbstumfrage 2024</c:v>
                </c:pt>
                <c:pt idx="1">
                  <c:v>Frühjahrsumfrage 2024</c:v>
                </c:pt>
                <c:pt idx="2">
                  <c:v>Herbstumfrage 2023</c:v>
                </c:pt>
              </c:strCache>
            </c:strRef>
          </c:cat>
          <c:val>
            <c:numRef>
              <c:f>gesamt!$P$383:$P$385</c:f>
              <c:numCache>
                <c:formatCode>0.0%</c:formatCode>
                <c:ptCount val="3"/>
                <c:pt idx="0">
                  <c:v>0.2847630238934587</c:v>
                </c:pt>
                <c:pt idx="1">
                  <c:v>0.25700000000000001</c:v>
                </c:pt>
                <c:pt idx="2">
                  <c:v>0.28299999999999997</c:v>
                </c:pt>
              </c:numCache>
            </c:numRef>
          </c:val>
          <c:extLst>
            <c:ext xmlns:c16="http://schemas.microsoft.com/office/drawing/2014/chart" uri="{C3380CC4-5D6E-409C-BE32-E72D297353CC}">
              <c16:uniqueId val="{00000001-B58A-437D-A20C-14B43C187924}"/>
            </c:ext>
          </c:extLst>
        </c:ser>
        <c:ser>
          <c:idx val="2"/>
          <c:order val="2"/>
          <c:tx>
            <c:strRef>
              <c:f>gesamt!$Q$382</c:f>
              <c:strCache>
                <c:ptCount val="1"/>
                <c:pt idx="0">
                  <c:v>geringer</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gesamt!$N$383:$N$385</c:f>
              <c:strCache>
                <c:ptCount val="3"/>
                <c:pt idx="0">
                  <c:v>Herbstumfrage 2024</c:v>
                </c:pt>
                <c:pt idx="1">
                  <c:v>Frühjahrsumfrage 2024</c:v>
                </c:pt>
                <c:pt idx="2">
                  <c:v>Herbstumfrage 2023</c:v>
                </c:pt>
              </c:strCache>
            </c:strRef>
          </c:cat>
          <c:val>
            <c:numRef>
              <c:f>gesamt!$Q$383:$Q$385</c:f>
              <c:numCache>
                <c:formatCode>0.0%</c:formatCode>
                <c:ptCount val="3"/>
                <c:pt idx="0">
                  <c:v>0.60301605953779869</c:v>
                </c:pt>
                <c:pt idx="1">
                  <c:v>0.65349999999999997</c:v>
                </c:pt>
                <c:pt idx="2">
                  <c:v>0.56200000000000006</c:v>
                </c:pt>
              </c:numCache>
            </c:numRef>
          </c:val>
          <c:extLst>
            <c:ext xmlns:c16="http://schemas.microsoft.com/office/drawing/2014/chart" uri="{C3380CC4-5D6E-409C-BE32-E72D297353CC}">
              <c16:uniqueId val="{00000002-B58A-437D-A20C-14B43C187924}"/>
            </c:ext>
          </c:extLst>
        </c:ser>
        <c:dLbls>
          <c:showLegendKey val="0"/>
          <c:showVal val="0"/>
          <c:showCatName val="0"/>
          <c:showSerName val="0"/>
          <c:showPercent val="0"/>
          <c:showBubbleSize val="0"/>
        </c:dLbls>
        <c:gapWidth val="150"/>
        <c:overlap val="100"/>
        <c:axId val="634059560"/>
        <c:axId val="634066120"/>
      </c:barChart>
      <c:catAx>
        <c:axId val="634059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634066120"/>
        <c:crosses val="autoZero"/>
        <c:auto val="1"/>
        <c:lblAlgn val="ctr"/>
        <c:lblOffset val="100"/>
        <c:noMultiLvlLbl val="0"/>
      </c:catAx>
      <c:valAx>
        <c:axId val="634066120"/>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34059560"/>
        <c:crosses val="autoZero"/>
        <c:crossBetween val="between"/>
      </c:valAx>
      <c:spPr>
        <a:solidFill>
          <a:sysClr val="window" lastClr="FFFFFF"/>
        </a:solid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legend>
    <c:plotVisOnly val="1"/>
    <c:dispBlanksAs val="gap"/>
    <c:showDLblsOverMax val="0"/>
  </c:chart>
  <c:spPr>
    <a:solidFill>
      <a:srgbClr val="DBEEF4"/>
    </a:solidFill>
    <a:ln w="9525" cap="flat" cmpd="sng" algn="ctr">
      <a:solidFill>
        <a:schemeClr val="tx1">
          <a:lumMod val="15000"/>
          <a:lumOff val="85000"/>
        </a:schemeClr>
      </a:solidFill>
      <a:round/>
    </a:ln>
    <a:effectLst/>
  </c:spPr>
  <c:txPr>
    <a:bodyPr/>
    <a:lstStyle/>
    <a:p>
      <a:pPr>
        <a:defRPr sz="700">
          <a:solidFill>
            <a:sysClr val="windowText" lastClr="000000"/>
          </a:solidFill>
        </a:defRPr>
      </a:pPr>
      <a:endParaRPr lang="de-DE"/>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gesamt!$E$406</c:f>
              <c:strCache>
                <c:ptCount val="1"/>
                <c:pt idx="0">
                  <c:v>deutlich höher</c:v>
                </c:pt>
              </c:strCache>
            </c:strRef>
          </c:tx>
          <c:spPr>
            <a:solidFill>
              <a:schemeClr val="accent1"/>
            </a:solidFill>
            <a:ln>
              <a:noFill/>
            </a:ln>
            <a:effectLst/>
          </c:spPr>
          <c:invertIfNegative val="0"/>
          <c:cat>
            <c:strRef>
              <c:f>gesamt!$D$407:$D$413</c:f>
              <c:strCache>
                <c:ptCount val="7"/>
                <c:pt idx="0">
                  <c:v>Ausbau</c:v>
                </c:pt>
                <c:pt idx="1">
                  <c:v>sonst. Tiefbau</c:v>
                </c:pt>
                <c:pt idx="2">
                  <c:v>Straßenbau</c:v>
                </c:pt>
                <c:pt idx="3">
                  <c:v>öffentlicher Hochbau</c:v>
                </c:pt>
                <c:pt idx="4">
                  <c:v>Wirtschaftsbau</c:v>
                </c:pt>
                <c:pt idx="5">
                  <c:v>Wohnungsbau</c:v>
                </c:pt>
                <c:pt idx="6">
                  <c:v>Insgesamt</c:v>
                </c:pt>
              </c:strCache>
            </c:strRef>
          </c:cat>
          <c:val>
            <c:numRef>
              <c:f>gesamt!$E$407:$E$413</c:f>
              <c:numCache>
                <c:formatCode>0.0%</c:formatCode>
                <c:ptCount val="7"/>
                <c:pt idx="0">
                  <c:v>1.3110846245530394E-2</c:v>
                </c:pt>
                <c:pt idx="1">
                  <c:v>3.3783783783783786E-3</c:v>
                </c:pt>
                <c:pt idx="2">
                  <c:v>2.0833333333333333E-3</c:v>
                </c:pt>
                <c:pt idx="3">
                  <c:v>5.6497175141242938E-3</c:v>
                </c:pt>
                <c:pt idx="4">
                  <c:v>4.0444893832153692E-3</c:v>
                </c:pt>
                <c:pt idx="5">
                  <c:v>1.0401188707280832E-2</c:v>
                </c:pt>
                <c:pt idx="6">
                  <c:v>7.2110699668680566E-3</c:v>
                </c:pt>
              </c:numCache>
            </c:numRef>
          </c:val>
          <c:extLst>
            <c:ext xmlns:c16="http://schemas.microsoft.com/office/drawing/2014/chart" uri="{C3380CC4-5D6E-409C-BE32-E72D297353CC}">
              <c16:uniqueId val="{00000000-68A0-4B7F-9B84-8B72BE77296E}"/>
            </c:ext>
          </c:extLst>
        </c:ser>
        <c:ser>
          <c:idx val="1"/>
          <c:order val="1"/>
          <c:tx>
            <c:strRef>
              <c:f>gesamt!$F$406</c:f>
              <c:strCache>
                <c:ptCount val="1"/>
                <c:pt idx="0">
                  <c:v>etwas höher</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gesamt!$D$407:$D$413</c:f>
              <c:strCache>
                <c:ptCount val="7"/>
                <c:pt idx="0">
                  <c:v>Ausbau</c:v>
                </c:pt>
                <c:pt idx="1">
                  <c:v>sonst. Tiefbau</c:v>
                </c:pt>
                <c:pt idx="2">
                  <c:v>Straßenbau</c:v>
                </c:pt>
                <c:pt idx="3">
                  <c:v>öffentlicher Hochbau</c:v>
                </c:pt>
                <c:pt idx="4">
                  <c:v>Wirtschaftsbau</c:v>
                </c:pt>
                <c:pt idx="5">
                  <c:v>Wohnungsbau</c:v>
                </c:pt>
                <c:pt idx="6">
                  <c:v>Insgesamt</c:v>
                </c:pt>
              </c:strCache>
            </c:strRef>
          </c:cat>
          <c:val>
            <c:numRef>
              <c:f>gesamt!$F$407:$F$413</c:f>
              <c:numCache>
                <c:formatCode>0.0%</c:formatCode>
                <c:ptCount val="7"/>
                <c:pt idx="0">
                  <c:v>8.8200238379022647E-2</c:v>
                </c:pt>
                <c:pt idx="1">
                  <c:v>5.7432432432432436E-2</c:v>
                </c:pt>
                <c:pt idx="2">
                  <c:v>3.9583333333333331E-2</c:v>
                </c:pt>
                <c:pt idx="3">
                  <c:v>3.7288135593220341E-2</c:v>
                </c:pt>
                <c:pt idx="4">
                  <c:v>4.9544994944388271E-2</c:v>
                </c:pt>
                <c:pt idx="5">
                  <c:v>7.280832095096583E-2</c:v>
                </c:pt>
                <c:pt idx="6">
                  <c:v>5.9832391346716036E-2</c:v>
                </c:pt>
              </c:numCache>
            </c:numRef>
          </c:val>
          <c:extLst>
            <c:ext xmlns:c16="http://schemas.microsoft.com/office/drawing/2014/chart" uri="{C3380CC4-5D6E-409C-BE32-E72D297353CC}">
              <c16:uniqueId val="{00000001-68A0-4B7F-9B84-8B72BE77296E}"/>
            </c:ext>
          </c:extLst>
        </c:ser>
        <c:ser>
          <c:idx val="2"/>
          <c:order val="2"/>
          <c:tx>
            <c:strRef>
              <c:f>gesamt!$G$406</c:f>
              <c:strCache>
                <c:ptCount val="1"/>
                <c:pt idx="0">
                  <c:v>unverändert</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gesamt!$D$407:$D$413</c:f>
              <c:strCache>
                <c:ptCount val="7"/>
                <c:pt idx="0">
                  <c:v>Ausbau</c:v>
                </c:pt>
                <c:pt idx="1">
                  <c:v>sonst. Tiefbau</c:v>
                </c:pt>
                <c:pt idx="2">
                  <c:v>Straßenbau</c:v>
                </c:pt>
                <c:pt idx="3">
                  <c:v>öffentlicher Hochbau</c:v>
                </c:pt>
                <c:pt idx="4">
                  <c:v>Wirtschaftsbau</c:v>
                </c:pt>
                <c:pt idx="5">
                  <c:v>Wohnungsbau</c:v>
                </c:pt>
                <c:pt idx="6">
                  <c:v>Insgesamt</c:v>
                </c:pt>
              </c:strCache>
            </c:strRef>
          </c:cat>
          <c:val>
            <c:numRef>
              <c:f>gesamt!$G$407:$G$413</c:f>
              <c:numCache>
                <c:formatCode>0.0%</c:formatCode>
                <c:ptCount val="7"/>
                <c:pt idx="0">
                  <c:v>0.45172824791418353</c:v>
                </c:pt>
                <c:pt idx="1">
                  <c:v>0.4358108108108108</c:v>
                </c:pt>
                <c:pt idx="2">
                  <c:v>0.39583333333333331</c:v>
                </c:pt>
                <c:pt idx="3">
                  <c:v>0.3728813559322034</c:v>
                </c:pt>
                <c:pt idx="4">
                  <c:v>0.37512639029322548</c:v>
                </c:pt>
                <c:pt idx="5">
                  <c:v>0.36701337295690933</c:v>
                </c:pt>
                <c:pt idx="6">
                  <c:v>0.39407522900019487</c:v>
                </c:pt>
              </c:numCache>
            </c:numRef>
          </c:val>
          <c:extLst>
            <c:ext xmlns:c16="http://schemas.microsoft.com/office/drawing/2014/chart" uri="{C3380CC4-5D6E-409C-BE32-E72D297353CC}">
              <c16:uniqueId val="{00000002-68A0-4B7F-9B84-8B72BE77296E}"/>
            </c:ext>
          </c:extLst>
        </c:ser>
        <c:ser>
          <c:idx val="3"/>
          <c:order val="3"/>
          <c:tx>
            <c:strRef>
              <c:f>gesamt!$H$406</c:f>
              <c:strCache>
                <c:ptCount val="1"/>
                <c:pt idx="0">
                  <c:v>geringer</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gesamt!$D$407:$D$413</c:f>
              <c:strCache>
                <c:ptCount val="7"/>
                <c:pt idx="0">
                  <c:v>Ausbau</c:v>
                </c:pt>
                <c:pt idx="1">
                  <c:v>sonst. Tiefbau</c:v>
                </c:pt>
                <c:pt idx="2">
                  <c:v>Straßenbau</c:v>
                </c:pt>
                <c:pt idx="3">
                  <c:v>öffentlicher Hochbau</c:v>
                </c:pt>
                <c:pt idx="4">
                  <c:v>Wirtschaftsbau</c:v>
                </c:pt>
                <c:pt idx="5">
                  <c:v>Wohnungsbau</c:v>
                </c:pt>
                <c:pt idx="6">
                  <c:v>Insgesamt</c:v>
                </c:pt>
              </c:strCache>
            </c:strRef>
          </c:cat>
          <c:val>
            <c:numRef>
              <c:f>gesamt!$H$407:$H$413</c:f>
              <c:numCache>
                <c:formatCode>0.0%</c:formatCode>
                <c:ptCount val="7"/>
                <c:pt idx="0">
                  <c:v>0.2765196662693683</c:v>
                </c:pt>
                <c:pt idx="1">
                  <c:v>0.31925675675675674</c:v>
                </c:pt>
                <c:pt idx="2">
                  <c:v>0.34375</c:v>
                </c:pt>
                <c:pt idx="3">
                  <c:v>0.34124293785310733</c:v>
                </c:pt>
                <c:pt idx="4">
                  <c:v>0.36501516683518703</c:v>
                </c:pt>
                <c:pt idx="5">
                  <c:v>0.33432392273402672</c:v>
                </c:pt>
                <c:pt idx="6">
                  <c:v>0.33112453712726564</c:v>
                </c:pt>
              </c:numCache>
            </c:numRef>
          </c:val>
          <c:extLst>
            <c:ext xmlns:c16="http://schemas.microsoft.com/office/drawing/2014/chart" uri="{C3380CC4-5D6E-409C-BE32-E72D297353CC}">
              <c16:uniqueId val="{00000003-68A0-4B7F-9B84-8B72BE77296E}"/>
            </c:ext>
          </c:extLst>
        </c:ser>
        <c:ser>
          <c:idx val="4"/>
          <c:order val="4"/>
          <c:tx>
            <c:strRef>
              <c:f>gesamt!$I$406</c:f>
              <c:strCache>
                <c:ptCount val="1"/>
                <c:pt idx="0">
                  <c:v>deutlich geringer</c:v>
                </c:pt>
              </c:strCache>
            </c:strRef>
          </c:tx>
          <c:spPr>
            <a:solidFill>
              <a:schemeClr val="bg2">
                <a:lumMod val="85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gesamt!$D$407:$D$413</c:f>
              <c:strCache>
                <c:ptCount val="7"/>
                <c:pt idx="0">
                  <c:v>Ausbau</c:v>
                </c:pt>
                <c:pt idx="1">
                  <c:v>sonst. Tiefbau</c:v>
                </c:pt>
                <c:pt idx="2">
                  <c:v>Straßenbau</c:v>
                </c:pt>
                <c:pt idx="3">
                  <c:v>öffentlicher Hochbau</c:v>
                </c:pt>
                <c:pt idx="4">
                  <c:v>Wirtschaftsbau</c:v>
                </c:pt>
                <c:pt idx="5">
                  <c:v>Wohnungsbau</c:v>
                </c:pt>
                <c:pt idx="6">
                  <c:v>Insgesamt</c:v>
                </c:pt>
              </c:strCache>
            </c:strRef>
          </c:cat>
          <c:val>
            <c:numRef>
              <c:f>gesamt!$I$407:$I$413</c:f>
              <c:numCache>
                <c:formatCode>0.0%</c:formatCode>
                <c:ptCount val="7"/>
                <c:pt idx="0">
                  <c:v>0.17044100119189512</c:v>
                </c:pt>
                <c:pt idx="1">
                  <c:v>0.18412162162162163</c:v>
                </c:pt>
                <c:pt idx="2">
                  <c:v>0.21875</c:v>
                </c:pt>
                <c:pt idx="3">
                  <c:v>0.24293785310734464</c:v>
                </c:pt>
                <c:pt idx="4">
                  <c:v>0.20626895854398383</c:v>
                </c:pt>
                <c:pt idx="5">
                  <c:v>0.21545319465081725</c:v>
                </c:pt>
                <c:pt idx="6">
                  <c:v>0.20775677255895536</c:v>
                </c:pt>
              </c:numCache>
            </c:numRef>
          </c:val>
          <c:extLst>
            <c:ext xmlns:c16="http://schemas.microsoft.com/office/drawing/2014/chart" uri="{C3380CC4-5D6E-409C-BE32-E72D297353CC}">
              <c16:uniqueId val="{00000004-68A0-4B7F-9B84-8B72BE77296E}"/>
            </c:ext>
          </c:extLst>
        </c:ser>
        <c:dLbls>
          <c:showLegendKey val="0"/>
          <c:showVal val="0"/>
          <c:showCatName val="0"/>
          <c:showSerName val="0"/>
          <c:showPercent val="0"/>
          <c:showBubbleSize val="0"/>
        </c:dLbls>
        <c:gapWidth val="150"/>
        <c:overlap val="100"/>
        <c:axId val="634059560"/>
        <c:axId val="634066120"/>
      </c:barChart>
      <c:catAx>
        <c:axId val="634059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634066120"/>
        <c:crosses val="autoZero"/>
        <c:auto val="1"/>
        <c:lblAlgn val="ctr"/>
        <c:lblOffset val="100"/>
        <c:noMultiLvlLbl val="0"/>
      </c:catAx>
      <c:valAx>
        <c:axId val="6340661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634059560"/>
        <c:crosses val="autoZero"/>
        <c:crossBetween val="between"/>
      </c:valAx>
      <c:spPr>
        <a:solidFill>
          <a:sysClr val="window" lastClr="FFFFFF"/>
        </a:solid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legend>
    <c:plotVisOnly val="1"/>
    <c:dispBlanksAs val="gap"/>
    <c:showDLblsOverMax val="0"/>
  </c:chart>
  <c:spPr>
    <a:solidFill>
      <a:srgbClr val="DBEEF4"/>
    </a:solidFill>
    <a:ln w="9525" cap="flat" cmpd="sng" algn="ctr">
      <a:solidFill>
        <a:schemeClr val="tx1">
          <a:lumMod val="15000"/>
          <a:lumOff val="85000"/>
        </a:schemeClr>
      </a:solidFill>
      <a:round/>
    </a:ln>
    <a:effectLst/>
  </c:spPr>
  <c:txPr>
    <a:bodyPr/>
    <a:lstStyle/>
    <a:p>
      <a:pPr>
        <a:defRPr sz="700">
          <a:solidFill>
            <a:sysClr val="windowText" lastClr="000000"/>
          </a:solidFill>
        </a:defRPr>
      </a:pPr>
      <a:endParaRPr lang="de-DE"/>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gesamt!$O$414</c:f>
              <c:strCache>
                <c:ptCount val="1"/>
                <c:pt idx="0">
                  <c:v>höher</c:v>
                </c:pt>
              </c:strCache>
            </c:strRef>
          </c:tx>
          <c:spPr>
            <a:solidFill>
              <a:srgbClr val="0197C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gesamt!$N$415:$N$416</c:f>
              <c:strCache>
                <c:ptCount val="2"/>
                <c:pt idx="0">
                  <c:v>Herbstumfrage 2024</c:v>
                </c:pt>
                <c:pt idx="1">
                  <c:v>Herbstumfrage 2023</c:v>
                </c:pt>
              </c:strCache>
            </c:strRef>
          </c:cat>
          <c:val>
            <c:numRef>
              <c:f>gesamt!$O$415:$O$416</c:f>
              <c:numCache>
                <c:formatCode>0.0%</c:formatCode>
                <c:ptCount val="2"/>
                <c:pt idx="0">
                  <c:v>6.7043461313584088E-2</c:v>
                </c:pt>
                <c:pt idx="1">
                  <c:v>6.7000000000000004E-2</c:v>
                </c:pt>
              </c:numCache>
            </c:numRef>
          </c:val>
          <c:extLst>
            <c:ext xmlns:c16="http://schemas.microsoft.com/office/drawing/2014/chart" uri="{C3380CC4-5D6E-409C-BE32-E72D297353CC}">
              <c16:uniqueId val="{00000000-CEF3-4C80-9D76-6566E968A5E3}"/>
            </c:ext>
          </c:extLst>
        </c:ser>
        <c:ser>
          <c:idx val="1"/>
          <c:order val="1"/>
          <c:tx>
            <c:strRef>
              <c:f>gesamt!$P$414</c:f>
              <c:strCache>
                <c:ptCount val="1"/>
                <c:pt idx="0">
                  <c:v>unverändert</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gesamt!$N$415:$N$416</c:f>
              <c:strCache>
                <c:ptCount val="2"/>
                <c:pt idx="0">
                  <c:v>Herbstumfrage 2024</c:v>
                </c:pt>
                <c:pt idx="1">
                  <c:v>Herbstumfrage 2023</c:v>
                </c:pt>
              </c:strCache>
            </c:strRef>
          </c:cat>
          <c:val>
            <c:numRef>
              <c:f>gesamt!$P$415:$P$416</c:f>
              <c:numCache>
                <c:formatCode>0.0%</c:formatCode>
                <c:ptCount val="2"/>
                <c:pt idx="0">
                  <c:v>0.39407522900019487</c:v>
                </c:pt>
                <c:pt idx="1">
                  <c:v>0.27700000000000002</c:v>
                </c:pt>
              </c:numCache>
            </c:numRef>
          </c:val>
          <c:extLst>
            <c:ext xmlns:c16="http://schemas.microsoft.com/office/drawing/2014/chart" uri="{C3380CC4-5D6E-409C-BE32-E72D297353CC}">
              <c16:uniqueId val="{00000001-CEF3-4C80-9D76-6566E968A5E3}"/>
            </c:ext>
          </c:extLst>
        </c:ser>
        <c:ser>
          <c:idx val="2"/>
          <c:order val="2"/>
          <c:tx>
            <c:strRef>
              <c:f>gesamt!$Q$414</c:f>
              <c:strCache>
                <c:ptCount val="1"/>
                <c:pt idx="0">
                  <c:v>geringer</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gesamt!$N$415:$N$416</c:f>
              <c:strCache>
                <c:ptCount val="2"/>
                <c:pt idx="0">
                  <c:v>Herbstumfrage 2024</c:v>
                </c:pt>
                <c:pt idx="1">
                  <c:v>Herbstumfrage 2023</c:v>
                </c:pt>
              </c:strCache>
            </c:strRef>
          </c:cat>
          <c:val>
            <c:numRef>
              <c:f>gesamt!$Q$415:$Q$416</c:f>
              <c:numCache>
                <c:formatCode>0.0%</c:formatCode>
                <c:ptCount val="2"/>
                <c:pt idx="0">
                  <c:v>0.53888130968622105</c:v>
                </c:pt>
                <c:pt idx="1">
                  <c:v>0.65700000000000003</c:v>
                </c:pt>
              </c:numCache>
            </c:numRef>
          </c:val>
          <c:extLst>
            <c:ext xmlns:c16="http://schemas.microsoft.com/office/drawing/2014/chart" uri="{C3380CC4-5D6E-409C-BE32-E72D297353CC}">
              <c16:uniqueId val="{00000002-CEF3-4C80-9D76-6566E968A5E3}"/>
            </c:ext>
          </c:extLst>
        </c:ser>
        <c:dLbls>
          <c:showLegendKey val="0"/>
          <c:showVal val="0"/>
          <c:showCatName val="0"/>
          <c:showSerName val="0"/>
          <c:showPercent val="0"/>
          <c:showBubbleSize val="0"/>
        </c:dLbls>
        <c:gapWidth val="150"/>
        <c:overlap val="100"/>
        <c:axId val="634059560"/>
        <c:axId val="634066120"/>
      </c:barChart>
      <c:catAx>
        <c:axId val="634059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634066120"/>
        <c:crosses val="autoZero"/>
        <c:auto val="1"/>
        <c:lblAlgn val="ctr"/>
        <c:lblOffset val="100"/>
        <c:noMultiLvlLbl val="0"/>
      </c:catAx>
      <c:valAx>
        <c:axId val="634066120"/>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34059560"/>
        <c:crosses val="autoZero"/>
        <c:crossBetween val="between"/>
      </c:valAx>
      <c:spPr>
        <a:solidFill>
          <a:sysClr val="window" lastClr="FFFFFF"/>
        </a:solid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legend>
    <c:plotVisOnly val="1"/>
    <c:dispBlanksAs val="gap"/>
    <c:showDLblsOverMax val="0"/>
  </c:chart>
  <c:spPr>
    <a:solidFill>
      <a:srgbClr val="DBEEF4"/>
    </a:solidFill>
    <a:ln w="9525" cap="flat" cmpd="sng" algn="ctr">
      <a:solidFill>
        <a:schemeClr val="tx1">
          <a:lumMod val="15000"/>
          <a:lumOff val="85000"/>
        </a:schemeClr>
      </a:solidFill>
      <a:round/>
    </a:ln>
    <a:effectLst/>
  </c:spPr>
  <c:txPr>
    <a:bodyPr/>
    <a:lstStyle/>
    <a:p>
      <a:pPr>
        <a:defRPr sz="700">
          <a:solidFill>
            <a:sysClr val="windowText" lastClr="000000"/>
          </a:solidFill>
        </a:defRPr>
      </a:pPr>
      <a:endParaRPr lang="de-DE"/>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369038773675231"/>
          <c:y val="5.3374001053476013E-2"/>
          <c:w val="0.76997638705231108"/>
          <c:h val="0.82228089862218534"/>
        </c:manualLayout>
      </c:layout>
      <c:barChart>
        <c:barDir val="bar"/>
        <c:grouping val="percentStacked"/>
        <c:varyColors val="0"/>
        <c:ser>
          <c:idx val="0"/>
          <c:order val="0"/>
          <c:tx>
            <c:strRef>
              <c:f>gesamt!$E$445</c:f>
              <c:strCache>
                <c:ptCount val="1"/>
                <c:pt idx="0">
                  <c:v>erhöht</c:v>
                </c:pt>
              </c:strCache>
            </c:strRef>
          </c:tx>
          <c:spPr>
            <a:solidFill>
              <a:srgbClr val="0197C6"/>
            </a:solidFill>
            <a:ln w="19050">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gesamt!$D$446:$D$448</c:f>
              <c:strCache>
                <c:ptCount val="3"/>
                <c:pt idx="0">
                  <c:v>Herbstumfrage 2024</c:v>
                </c:pt>
                <c:pt idx="1">
                  <c:v>Frühjahrsumfrage 2024</c:v>
                </c:pt>
                <c:pt idx="2">
                  <c:v>Herbstumfrage 2023</c:v>
                </c:pt>
              </c:strCache>
            </c:strRef>
          </c:cat>
          <c:val>
            <c:numRef>
              <c:f>gesamt!$E$446:$E$448</c:f>
              <c:numCache>
                <c:formatCode>0.0%</c:formatCode>
                <c:ptCount val="3"/>
                <c:pt idx="0">
                  <c:v>0.104</c:v>
                </c:pt>
                <c:pt idx="1">
                  <c:v>0.11319340329835083</c:v>
                </c:pt>
                <c:pt idx="2">
                  <c:v>0.113</c:v>
                </c:pt>
              </c:numCache>
            </c:numRef>
          </c:val>
          <c:extLst>
            <c:ext xmlns:c16="http://schemas.microsoft.com/office/drawing/2014/chart" uri="{C3380CC4-5D6E-409C-BE32-E72D297353CC}">
              <c16:uniqueId val="{00000000-6182-4B57-A351-5CA60E791579}"/>
            </c:ext>
          </c:extLst>
        </c:ser>
        <c:ser>
          <c:idx val="1"/>
          <c:order val="1"/>
          <c:tx>
            <c:strRef>
              <c:f>gesamt!$F$445</c:f>
              <c:strCache>
                <c:ptCount val="1"/>
                <c:pt idx="0">
                  <c:v>gehalten</c:v>
                </c:pt>
              </c:strCache>
            </c:strRef>
          </c:tx>
          <c:spPr>
            <a:solidFill>
              <a:srgbClr val="002060"/>
            </a:solidFill>
            <a:ln w="19050">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gesamt!$D$446:$D$448</c:f>
              <c:strCache>
                <c:ptCount val="3"/>
                <c:pt idx="0">
                  <c:v>Herbstumfrage 2024</c:v>
                </c:pt>
                <c:pt idx="1">
                  <c:v>Frühjahrsumfrage 2024</c:v>
                </c:pt>
                <c:pt idx="2">
                  <c:v>Herbstumfrage 2023</c:v>
                </c:pt>
              </c:strCache>
            </c:strRef>
          </c:cat>
          <c:val>
            <c:numRef>
              <c:f>gesamt!$F$446:$F$448</c:f>
              <c:numCache>
                <c:formatCode>0.0%</c:formatCode>
                <c:ptCount val="3"/>
                <c:pt idx="0">
                  <c:v>0.55800000000000005</c:v>
                </c:pt>
                <c:pt idx="1">
                  <c:v>0.664167916041979</c:v>
                </c:pt>
                <c:pt idx="2">
                  <c:v>0.57199999999999995</c:v>
                </c:pt>
              </c:numCache>
            </c:numRef>
          </c:val>
          <c:extLst>
            <c:ext xmlns:c16="http://schemas.microsoft.com/office/drawing/2014/chart" uri="{C3380CC4-5D6E-409C-BE32-E72D297353CC}">
              <c16:uniqueId val="{00000001-6182-4B57-A351-5CA60E791579}"/>
            </c:ext>
          </c:extLst>
        </c:ser>
        <c:ser>
          <c:idx val="2"/>
          <c:order val="2"/>
          <c:tx>
            <c:strRef>
              <c:f>gesamt!$G$445</c:f>
              <c:strCache>
                <c:ptCount val="1"/>
                <c:pt idx="0">
                  <c:v>verringert</c:v>
                </c:pt>
              </c:strCache>
            </c:strRef>
          </c:tx>
          <c:spPr>
            <a:solidFill>
              <a:schemeClr val="bg1">
                <a:lumMod val="50000"/>
              </a:schemeClr>
            </a:solidFill>
            <a:ln w="19050">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gesamt!$D$446:$D$448</c:f>
              <c:strCache>
                <c:ptCount val="3"/>
                <c:pt idx="0">
                  <c:v>Herbstumfrage 2024</c:v>
                </c:pt>
                <c:pt idx="1">
                  <c:v>Frühjahrsumfrage 2024</c:v>
                </c:pt>
                <c:pt idx="2">
                  <c:v>Herbstumfrage 2023</c:v>
                </c:pt>
              </c:strCache>
            </c:strRef>
          </c:cat>
          <c:val>
            <c:numRef>
              <c:f>gesamt!$G$446:$G$448</c:f>
              <c:numCache>
                <c:formatCode>0.0%</c:formatCode>
                <c:ptCount val="3"/>
                <c:pt idx="0">
                  <c:v>0.33700000000000002</c:v>
                </c:pt>
                <c:pt idx="1">
                  <c:v>0.22263868065967016</c:v>
                </c:pt>
                <c:pt idx="2">
                  <c:v>0.316</c:v>
                </c:pt>
              </c:numCache>
            </c:numRef>
          </c:val>
          <c:extLst>
            <c:ext xmlns:c16="http://schemas.microsoft.com/office/drawing/2014/chart" uri="{C3380CC4-5D6E-409C-BE32-E72D297353CC}">
              <c16:uniqueId val="{00000002-6182-4B57-A351-5CA60E791579}"/>
            </c:ext>
          </c:extLst>
        </c:ser>
        <c:dLbls>
          <c:showLegendKey val="0"/>
          <c:showVal val="0"/>
          <c:showCatName val="0"/>
          <c:showSerName val="0"/>
          <c:showPercent val="0"/>
          <c:showBubbleSize val="0"/>
        </c:dLbls>
        <c:gapWidth val="100"/>
        <c:overlap val="100"/>
        <c:axId val="74945088"/>
        <c:axId val="74944432"/>
      </c:barChart>
      <c:valAx>
        <c:axId val="74944432"/>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crossAx val="74945088"/>
        <c:crosses val="autoZero"/>
        <c:crossBetween val="between"/>
      </c:valAx>
      <c:catAx>
        <c:axId val="7494508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74944432"/>
        <c:crosses val="autoZero"/>
        <c:auto val="1"/>
        <c:lblAlgn val="ctr"/>
        <c:lblOffset val="100"/>
        <c:noMultiLvlLbl val="0"/>
      </c:catAx>
      <c:spPr>
        <a:solidFill>
          <a:sysClr val="window" lastClr="FFFFFF"/>
        </a:solid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legend>
    <c:plotVisOnly val="1"/>
    <c:dispBlanksAs val="gap"/>
    <c:showDLblsOverMax val="0"/>
  </c:chart>
  <c:spPr>
    <a:solidFill>
      <a:srgbClr val="DBEEF4"/>
    </a:solidFill>
    <a:ln w="9525" cap="flat" cmpd="sng" algn="ctr">
      <a:solidFill>
        <a:schemeClr val="tx1">
          <a:lumMod val="15000"/>
          <a:lumOff val="85000"/>
        </a:schemeClr>
      </a:solidFill>
      <a:round/>
    </a:ln>
    <a:effectLst/>
  </c:spPr>
  <c:txPr>
    <a:bodyPr/>
    <a:lstStyle/>
    <a:p>
      <a:pPr>
        <a:defRPr sz="700">
          <a:solidFill>
            <a:sysClr val="windowText" lastClr="000000"/>
          </a:solidFill>
        </a:defRPr>
      </a:pPr>
      <a:endParaRPr lang="de-DE"/>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gesamt!$E$470</c:f>
              <c:strCache>
                <c:ptCount val="1"/>
                <c:pt idx="0">
                  <c:v>erhöhen</c:v>
                </c:pt>
              </c:strCache>
            </c:strRef>
          </c:tx>
          <c:spPr>
            <a:solidFill>
              <a:srgbClr val="0197C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gesamt!$D$471:$D$472</c:f>
              <c:strCache>
                <c:ptCount val="2"/>
                <c:pt idx="0">
                  <c:v>Herbstumfrage 2024</c:v>
                </c:pt>
                <c:pt idx="1">
                  <c:v>Herbstumfrage 2023</c:v>
                </c:pt>
              </c:strCache>
            </c:strRef>
          </c:cat>
          <c:val>
            <c:numRef>
              <c:f>gesamt!$E$471:$E$472</c:f>
              <c:numCache>
                <c:formatCode>0.0%</c:formatCode>
                <c:ptCount val="2"/>
                <c:pt idx="0">
                  <c:v>0.13100000000000001</c:v>
                </c:pt>
                <c:pt idx="1">
                  <c:v>0.112</c:v>
                </c:pt>
              </c:numCache>
            </c:numRef>
          </c:val>
          <c:extLst>
            <c:ext xmlns:c16="http://schemas.microsoft.com/office/drawing/2014/chart" uri="{C3380CC4-5D6E-409C-BE32-E72D297353CC}">
              <c16:uniqueId val="{00000000-4152-4DAE-8219-CE2D25B51B6B}"/>
            </c:ext>
          </c:extLst>
        </c:ser>
        <c:ser>
          <c:idx val="1"/>
          <c:order val="1"/>
          <c:tx>
            <c:strRef>
              <c:f>gesamt!$F$470</c:f>
              <c:strCache>
                <c:ptCount val="1"/>
                <c:pt idx="0">
                  <c:v>halten</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gesamt!$D$471:$D$472</c:f>
              <c:strCache>
                <c:ptCount val="2"/>
                <c:pt idx="0">
                  <c:v>Herbstumfrage 2024</c:v>
                </c:pt>
                <c:pt idx="1">
                  <c:v>Herbstumfrage 2023</c:v>
                </c:pt>
              </c:strCache>
            </c:strRef>
          </c:cat>
          <c:val>
            <c:numRef>
              <c:f>gesamt!$F$471:$F$472</c:f>
              <c:numCache>
                <c:formatCode>0.0%</c:formatCode>
                <c:ptCount val="2"/>
                <c:pt idx="0">
                  <c:v>0.69499999999999995</c:v>
                </c:pt>
                <c:pt idx="1">
                  <c:v>0.66100000000000003</c:v>
                </c:pt>
              </c:numCache>
            </c:numRef>
          </c:val>
          <c:extLst>
            <c:ext xmlns:c16="http://schemas.microsoft.com/office/drawing/2014/chart" uri="{C3380CC4-5D6E-409C-BE32-E72D297353CC}">
              <c16:uniqueId val="{00000001-4152-4DAE-8219-CE2D25B51B6B}"/>
            </c:ext>
          </c:extLst>
        </c:ser>
        <c:ser>
          <c:idx val="2"/>
          <c:order val="2"/>
          <c:tx>
            <c:strRef>
              <c:f>gesamt!$G$470</c:f>
              <c:strCache>
                <c:ptCount val="1"/>
                <c:pt idx="0">
                  <c:v>verringern</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gesamt!$D$471:$D$472</c:f>
              <c:strCache>
                <c:ptCount val="2"/>
                <c:pt idx="0">
                  <c:v>Herbstumfrage 2024</c:v>
                </c:pt>
                <c:pt idx="1">
                  <c:v>Herbstumfrage 2023</c:v>
                </c:pt>
              </c:strCache>
            </c:strRef>
          </c:cat>
          <c:val>
            <c:numRef>
              <c:f>gesamt!$G$471:$G$472</c:f>
              <c:numCache>
                <c:formatCode>0.0%</c:formatCode>
                <c:ptCount val="2"/>
                <c:pt idx="0">
                  <c:v>0.17399999999999999</c:v>
                </c:pt>
                <c:pt idx="1">
                  <c:v>0.22600000000000001</c:v>
                </c:pt>
              </c:numCache>
            </c:numRef>
          </c:val>
          <c:extLst>
            <c:ext xmlns:c16="http://schemas.microsoft.com/office/drawing/2014/chart" uri="{C3380CC4-5D6E-409C-BE32-E72D297353CC}">
              <c16:uniqueId val="{00000002-4152-4DAE-8219-CE2D25B51B6B}"/>
            </c:ext>
          </c:extLst>
        </c:ser>
        <c:dLbls>
          <c:showLegendKey val="0"/>
          <c:showVal val="0"/>
          <c:showCatName val="0"/>
          <c:showSerName val="0"/>
          <c:showPercent val="0"/>
          <c:showBubbleSize val="0"/>
        </c:dLbls>
        <c:gapWidth val="150"/>
        <c:overlap val="100"/>
        <c:axId val="642582864"/>
        <c:axId val="642587784"/>
      </c:barChart>
      <c:catAx>
        <c:axId val="642582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642587784"/>
        <c:crosses val="autoZero"/>
        <c:auto val="1"/>
        <c:lblAlgn val="ctr"/>
        <c:lblOffset val="100"/>
        <c:noMultiLvlLbl val="0"/>
      </c:catAx>
      <c:valAx>
        <c:axId val="642587784"/>
        <c:scaling>
          <c:orientation val="minMax"/>
          <c:max val="1"/>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642582864"/>
        <c:crosses val="autoZero"/>
        <c:crossBetween val="between"/>
      </c:valAx>
      <c:spPr>
        <a:solidFill>
          <a:sysClr val="window" lastClr="FFFFFF"/>
        </a:solid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legend>
    <c:plotVisOnly val="1"/>
    <c:dispBlanksAs val="gap"/>
    <c:showDLblsOverMax val="0"/>
  </c:chart>
  <c:spPr>
    <a:solidFill>
      <a:srgbClr val="DBEEF4"/>
    </a:solidFill>
    <a:ln w="9525" cap="flat" cmpd="sng" algn="ctr">
      <a:solidFill>
        <a:schemeClr val="tx1">
          <a:lumMod val="15000"/>
          <a:lumOff val="85000"/>
        </a:schemeClr>
      </a:solidFill>
      <a:round/>
    </a:ln>
    <a:effectLst/>
  </c:spPr>
  <c:txPr>
    <a:bodyPr/>
    <a:lstStyle/>
    <a:p>
      <a:pPr>
        <a:defRPr sz="700">
          <a:solidFill>
            <a:sysClr val="windowText" lastClr="000000"/>
          </a:solidFill>
        </a:defRPr>
      </a:pPr>
      <a:endParaRPr lang="de-DE"/>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gesamt!$E$497</c:f>
              <c:strCache>
                <c:ptCount val="1"/>
                <c:pt idx="0">
                  <c:v>erhöht</c:v>
                </c:pt>
              </c:strCache>
            </c:strRef>
          </c:tx>
          <c:spPr>
            <a:solidFill>
              <a:srgbClr val="0197C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gesamt!$D$498:$D$500</c:f>
              <c:strCache>
                <c:ptCount val="3"/>
                <c:pt idx="0">
                  <c:v>Herbstumfrage 2024</c:v>
                </c:pt>
                <c:pt idx="1">
                  <c:v>Frühjahrsumfrage 2024</c:v>
                </c:pt>
                <c:pt idx="2">
                  <c:v>Herbstumfrage 2023</c:v>
                </c:pt>
              </c:strCache>
            </c:strRef>
          </c:cat>
          <c:val>
            <c:numRef>
              <c:f>gesamt!$E$498:$E$500</c:f>
              <c:numCache>
                <c:formatCode>0.0%</c:formatCode>
                <c:ptCount val="3"/>
                <c:pt idx="0">
                  <c:v>0.16300000000000001</c:v>
                </c:pt>
                <c:pt idx="1">
                  <c:v>0.21475409836065573</c:v>
                </c:pt>
                <c:pt idx="2">
                  <c:v>0.14499999999999999</c:v>
                </c:pt>
              </c:numCache>
            </c:numRef>
          </c:val>
          <c:extLst>
            <c:ext xmlns:c16="http://schemas.microsoft.com/office/drawing/2014/chart" uri="{C3380CC4-5D6E-409C-BE32-E72D297353CC}">
              <c16:uniqueId val="{00000000-4D43-4D50-8360-CBC1DFB8CC6D}"/>
            </c:ext>
          </c:extLst>
        </c:ser>
        <c:ser>
          <c:idx val="1"/>
          <c:order val="1"/>
          <c:tx>
            <c:strRef>
              <c:f>gesamt!$F$497</c:f>
              <c:strCache>
                <c:ptCount val="1"/>
                <c:pt idx="0">
                  <c:v>gehalten</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gesamt!$D$498:$D$500</c:f>
              <c:strCache>
                <c:ptCount val="3"/>
                <c:pt idx="0">
                  <c:v>Herbstumfrage 2024</c:v>
                </c:pt>
                <c:pt idx="1">
                  <c:v>Frühjahrsumfrage 2024</c:v>
                </c:pt>
                <c:pt idx="2">
                  <c:v>Herbstumfrage 2023</c:v>
                </c:pt>
              </c:strCache>
            </c:strRef>
          </c:cat>
          <c:val>
            <c:numRef>
              <c:f>gesamt!$F$498:$F$500</c:f>
              <c:numCache>
                <c:formatCode>0.0%</c:formatCode>
                <c:ptCount val="3"/>
                <c:pt idx="0">
                  <c:v>0.53200000000000003</c:v>
                </c:pt>
                <c:pt idx="1">
                  <c:v>0.57377049180327866</c:v>
                </c:pt>
                <c:pt idx="2">
                  <c:v>0.56899999999999995</c:v>
                </c:pt>
              </c:numCache>
            </c:numRef>
          </c:val>
          <c:extLst>
            <c:ext xmlns:c16="http://schemas.microsoft.com/office/drawing/2014/chart" uri="{C3380CC4-5D6E-409C-BE32-E72D297353CC}">
              <c16:uniqueId val="{00000001-4D43-4D50-8360-CBC1DFB8CC6D}"/>
            </c:ext>
          </c:extLst>
        </c:ser>
        <c:ser>
          <c:idx val="2"/>
          <c:order val="2"/>
          <c:tx>
            <c:strRef>
              <c:f>gesamt!$G$497</c:f>
              <c:strCache>
                <c:ptCount val="1"/>
                <c:pt idx="0">
                  <c:v>verringert</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gesamt!$D$498:$D$500</c:f>
              <c:strCache>
                <c:ptCount val="3"/>
                <c:pt idx="0">
                  <c:v>Herbstumfrage 2024</c:v>
                </c:pt>
                <c:pt idx="1">
                  <c:v>Frühjahrsumfrage 2024</c:v>
                </c:pt>
                <c:pt idx="2">
                  <c:v>Herbstumfrage 2023</c:v>
                </c:pt>
              </c:strCache>
            </c:strRef>
          </c:cat>
          <c:val>
            <c:numRef>
              <c:f>gesamt!$G$498:$G$500</c:f>
              <c:numCache>
                <c:formatCode>0.0%</c:formatCode>
                <c:ptCount val="3"/>
                <c:pt idx="0">
                  <c:v>0.30499999999999999</c:v>
                </c:pt>
                <c:pt idx="1">
                  <c:v>0.21147540983606558</c:v>
                </c:pt>
                <c:pt idx="2">
                  <c:v>0.28599999999999998</c:v>
                </c:pt>
              </c:numCache>
            </c:numRef>
          </c:val>
          <c:extLst>
            <c:ext xmlns:c16="http://schemas.microsoft.com/office/drawing/2014/chart" uri="{C3380CC4-5D6E-409C-BE32-E72D297353CC}">
              <c16:uniqueId val="{00000002-4D43-4D50-8360-CBC1DFB8CC6D}"/>
            </c:ext>
          </c:extLst>
        </c:ser>
        <c:dLbls>
          <c:showLegendKey val="0"/>
          <c:showVal val="0"/>
          <c:showCatName val="0"/>
          <c:showSerName val="0"/>
          <c:showPercent val="0"/>
          <c:showBubbleSize val="0"/>
        </c:dLbls>
        <c:gapWidth val="150"/>
        <c:overlap val="100"/>
        <c:axId val="642582864"/>
        <c:axId val="642587784"/>
      </c:barChart>
      <c:catAx>
        <c:axId val="642582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642587784"/>
        <c:crosses val="autoZero"/>
        <c:auto val="1"/>
        <c:lblAlgn val="ctr"/>
        <c:lblOffset val="100"/>
        <c:noMultiLvlLbl val="0"/>
      </c:catAx>
      <c:valAx>
        <c:axId val="642587784"/>
        <c:scaling>
          <c:orientation val="minMax"/>
          <c:max val="1"/>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642582864"/>
        <c:crosses val="autoZero"/>
        <c:crossBetween val="between"/>
      </c:valAx>
      <c:spPr>
        <a:solidFill>
          <a:sysClr val="window" lastClr="FFFFFF"/>
        </a:solid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legend>
    <c:plotVisOnly val="1"/>
    <c:dispBlanksAs val="gap"/>
    <c:showDLblsOverMax val="0"/>
  </c:chart>
  <c:spPr>
    <a:solidFill>
      <a:srgbClr val="DBEEF4"/>
    </a:solidFill>
    <a:ln w="9525" cap="flat" cmpd="sng" algn="ctr">
      <a:solidFill>
        <a:schemeClr val="tx1">
          <a:lumMod val="15000"/>
          <a:lumOff val="85000"/>
        </a:schemeClr>
      </a:solidFill>
      <a:round/>
    </a:ln>
    <a:effectLst/>
  </c:spPr>
  <c:txPr>
    <a:bodyPr/>
    <a:lstStyle/>
    <a:p>
      <a:pPr>
        <a:defRPr sz="700">
          <a:solidFill>
            <a:sysClr val="windowText" lastClr="000000"/>
          </a:solidFill>
        </a:defRPr>
      </a:pPr>
      <a:endParaRPr lang="de-DE"/>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133373714131083"/>
          <c:y val="4.0144282343904526E-2"/>
          <c:w val="0.77746129074525439"/>
          <c:h val="0.86618243284624152"/>
        </c:manualLayout>
      </c:layout>
      <c:barChart>
        <c:barDir val="bar"/>
        <c:grouping val="stacked"/>
        <c:varyColors val="0"/>
        <c:ser>
          <c:idx val="0"/>
          <c:order val="0"/>
          <c:tx>
            <c:strRef>
              <c:f>gesamt!$E$549</c:f>
              <c:strCache>
                <c:ptCount val="1"/>
                <c:pt idx="0">
                  <c:v>ja</c:v>
                </c:pt>
              </c:strCache>
            </c:strRef>
          </c:tx>
          <c:spPr>
            <a:solidFill>
              <a:srgbClr val="0197C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gesamt!$D$550:$D$552</c:f>
              <c:strCache>
                <c:ptCount val="3"/>
                <c:pt idx="0">
                  <c:v>Herbstumfrage 2024</c:v>
                </c:pt>
                <c:pt idx="1">
                  <c:v>Frühjahrsumfrage 2024</c:v>
                </c:pt>
                <c:pt idx="2">
                  <c:v>Herbstumfrage 2023</c:v>
                </c:pt>
              </c:strCache>
            </c:strRef>
          </c:cat>
          <c:val>
            <c:numRef>
              <c:f>gesamt!$E$550:$E$552</c:f>
              <c:numCache>
                <c:formatCode>0.0%</c:formatCode>
                <c:ptCount val="3"/>
                <c:pt idx="0">
                  <c:v>0.45400000000000001</c:v>
                </c:pt>
                <c:pt idx="1">
                  <c:v>0.48431522570772761</c:v>
                </c:pt>
                <c:pt idx="2">
                  <c:v>0.48399999999999999</c:v>
                </c:pt>
              </c:numCache>
            </c:numRef>
          </c:val>
          <c:extLst>
            <c:ext xmlns:c16="http://schemas.microsoft.com/office/drawing/2014/chart" uri="{C3380CC4-5D6E-409C-BE32-E72D297353CC}">
              <c16:uniqueId val="{00000000-1E6A-401A-BAAF-E1E53DFF1731}"/>
            </c:ext>
          </c:extLst>
        </c:ser>
        <c:ser>
          <c:idx val="1"/>
          <c:order val="1"/>
          <c:tx>
            <c:strRef>
              <c:f>gesamt!$F$549</c:f>
              <c:strCache>
                <c:ptCount val="1"/>
                <c:pt idx="0">
                  <c:v>nein</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gesamt!$D$550:$D$552</c:f>
              <c:strCache>
                <c:ptCount val="3"/>
                <c:pt idx="0">
                  <c:v>Herbstumfrage 2024</c:v>
                </c:pt>
                <c:pt idx="1">
                  <c:v>Frühjahrsumfrage 2024</c:v>
                </c:pt>
                <c:pt idx="2">
                  <c:v>Herbstumfrage 2023</c:v>
                </c:pt>
              </c:strCache>
            </c:strRef>
          </c:cat>
          <c:val>
            <c:numRef>
              <c:f>gesamt!$F$550:$F$552</c:f>
              <c:numCache>
                <c:formatCode>0.0%</c:formatCode>
                <c:ptCount val="3"/>
                <c:pt idx="0">
                  <c:v>0.54600000000000004</c:v>
                </c:pt>
                <c:pt idx="1">
                  <c:v>0.51568477429227233</c:v>
                </c:pt>
                <c:pt idx="2">
                  <c:v>0.51600000000000001</c:v>
                </c:pt>
              </c:numCache>
            </c:numRef>
          </c:val>
          <c:extLst>
            <c:ext xmlns:c16="http://schemas.microsoft.com/office/drawing/2014/chart" uri="{C3380CC4-5D6E-409C-BE32-E72D297353CC}">
              <c16:uniqueId val="{00000001-1E6A-401A-BAAF-E1E53DFF1731}"/>
            </c:ext>
          </c:extLst>
        </c:ser>
        <c:dLbls>
          <c:showLegendKey val="0"/>
          <c:showVal val="0"/>
          <c:showCatName val="0"/>
          <c:showSerName val="0"/>
          <c:showPercent val="0"/>
          <c:showBubbleSize val="0"/>
        </c:dLbls>
        <c:gapWidth val="150"/>
        <c:overlap val="100"/>
        <c:axId val="925708840"/>
        <c:axId val="925708512"/>
      </c:barChart>
      <c:catAx>
        <c:axId val="9257088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925708512"/>
        <c:crosses val="autoZero"/>
        <c:auto val="1"/>
        <c:lblAlgn val="ctr"/>
        <c:lblOffset val="100"/>
        <c:noMultiLvlLbl val="0"/>
      </c:catAx>
      <c:valAx>
        <c:axId val="925708512"/>
        <c:scaling>
          <c:orientation val="minMax"/>
          <c:max val="1"/>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925708840"/>
        <c:crosses val="autoZero"/>
        <c:crossBetween val="between"/>
      </c:valAx>
      <c:spPr>
        <a:solidFill>
          <a:sysClr val="window" lastClr="FFFFFF"/>
        </a:solid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legend>
    <c:plotVisOnly val="1"/>
    <c:dispBlanksAs val="gap"/>
    <c:showDLblsOverMax val="0"/>
  </c:chart>
  <c:spPr>
    <a:solidFill>
      <a:srgbClr val="DBEEF4"/>
    </a:solidFill>
    <a:ln w="9525" cap="flat" cmpd="sng" algn="ctr">
      <a:solidFill>
        <a:schemeClr val="tx1">
          <a:lumMod val="15000"/>
          <a:lumOff val="85000"/>
        </a:schemeClr>
      </a:solidFill>
      <a:round/>
    </a:ln>
    <a:effectLst/>
  </c:spPr>
  <c:txPr>
    <a:bodyPr/>
    <a:lstStyle/>
    <a:p>
      <a:pPr>
        <a:defRPr sz="700">
          <a:solidFill>
            <a:sysClr val="windowText" lastClr="000000"/>
          </a:solidFill>
        </a:defRPr>
      </a:pPr>
      <a:endParaRPr lang="de-DE"/>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gesamt!$E$572</c:f>
              <c:strCache>
                <c:ptCount val="1"/>
                <c:pt idx="0">
                  <c:v>erhöht</c:v>
                </c:pt>
              </c:strCache>
            </c:strRef>
          </c:tx>
          <c:spPr>
            <a:solidFill>
              <a:srgbClr val="0197C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gesamt!$D$573:$D$574</c:f>
              <c:strCache>
                <c:ptCount val="2"/>
                <c:pt idx="0">
                  <c:v>Maschinen und Baugeräte</c:v>
                </c:pt>
                <c:pt idx="1">
                  <c:v>Digitalisierung</c:v>
                </c:pt>
              </c:strCache>
            </c:strRef>
          </c:cat>
          <c:val>
            <c:numRef>
              <c:f>gesamt!$E$573:$E$574</c:f>
              <c:numCache>
                <c:formatCode>0.0%</c:formatCode>
                <c:ptCount val="2"/>
                <c:pt idx="0">
                  <c:v>0.14000000000000001</c:v>
                </c:pt>
                <c:pt idx="1">
                  <c:v>0.22</c:v>
                </c:pt>
              </c:numCache>
            </c:numRef>
          </c:val>
          <c:extLst>
            <c:ext xmlns:c16="http://schemas.microsoft.com/office/drawing/2014/chart" uri="{C3380CC4-5D6E-409C-BE32-E72D297353CC}">
              <c16:uniqueId val="{00000000-AF5E-4534-8121-CB40A7D8C559}"/>
            </c:ext>
          </c:extLst>
        </c:ser>
        <c:ser>
          <c:idx val="1"/>
          <c:order val="1"/>
          <c:tx>
            <c:strRef>
              <c:f>gesamt!$F$572</c:f>
              <c:strCache>
                <c:ptCount val="1"/>
                <c:pt idx="0">
                  <c:v>gehalten</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gesamt!$D$573:$D$574</c:f>
              <c:strCache>
                <c:ptCount val="2"/>
                <c:pt idx="0">
                  <c:v>Maschinen und Baugeräte</c:v>
                </c:pt>
                <c:pt idx="1">
                  <c:v>Digitalisierung</c:v>
                </c:pt>
              </c:strCache>
            </c:strRef>
          </c:cat>
          <c:val>
            <c:numRef>
              <c:f>gesamt!$F$573:$F$574</c:f>
              <c:numCache>
                <c:formatCode>0.0%</c:formatCode>
                <c:ptCount val="2"/>
                <c:pt idx="0">
                  <c:v>0.43</c:v>
                </c:pt>
                <c:pt idx="1">
                  <c:v>0.501</c:v>
                </c:pt>
              </c:numCache>
            </c:numRef>
          </c:val>
          <c:extLst>
            <c:ext xmlns:c16="http://schemas.microsoft.com/office/drawing/2014/chart" uri="{C3380CC4-5D6E-409C-BE32-E72D297353CC}">
              <c16:uniqueId val="{00000001-AF5E-4534-8121-CB40A7D8C559}"/>
            </c:ext>
          </c:extLst>
        </c:ser>
        <c:ser>
          <c:idx val="2"/>
          <c:order val="2"/>
          <c:tx>
            <c:strRef>
              <c:f>gesamt!$G$572</c:f>
              <c:strCache>
                <c:ptCount val="1"/>
                <c:pt idx="0">
                  <c:v>gesenkt</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gesamt!$D$573:$D$574</c:f>
              <c:strCache>
                <c:ptCount val="2"/>
                <c:pt idx="0">
                  <c:v>Maschinen und Baugeräte</c:v>
                </c:pt>
                <c:pt idx="1">
                  <c:v>Digitalisierung</c:v>
                </c:pt>
              </c:strCache>
            </c:strRef>
          </c:cat>
          <c:val>
            <c:numRef>
              <c:f>gesamt!$G$573:$G$574</c:f>
              <c:numCache>
                <c:formatCode>0.0%</c:formatCode>
                <c:ptCount val="2"/>
                <c:pt idx="0">
                  <c:v>0.43</c:v>
                </c:pt>
                <c:pt idx="1">
                  <c:v>0.27900000000000003</c:v>
                </c:pt>
              </c:numCache>
            </c:numRef>
          </c:val>
          <c:extLst>
            <c:ext xmlns:c16="http://schemas.microsoft.com/office/drawing/2014/chart" uri="{C3380CC4-5D6E-409C-BE32-E72D297353CC}">
              <c16:uniqueId val="{00000002-AF5E-4534-8121-CB40A7D8C559}"/>
            </c:ext>
          </c:extLst>
        </c:ser>
        <c:dLbls>
          <c:showLegendKey val="0"/>
          <c:showVal val="0"/>
          <c:showCatName val="0"/>
          <c:showSerName val="0"/>
          <c:showPercent val="0"/>
          <c:showBubbleSize val="0"/>
        </c:dLbls>
        <c:gapWidth val="219"/>
        <c:overlap val="100"/>
        <c:axId val="634059560"/>
        <c:axId val="634066120"/>
      </c:barChart>
      <c:catAx>
        <c:axId val="634059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634066120"/>
        <c:crosses val="autoZero"/>
        <c:auto val="1"/>
        <c:lblAlgn val="ctr"/>
        <c:lblOffset val="100"/>
        <c:noMultiLvlLbl val="0"/>
      </c:catAx>
      <c:valAx>
        <c:axId val="634066120"/>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34059560"/>
        <c:crosses val="autoZero"/>
        <c:crossBetween val="between"/>
      </c:valAx>
      <c:spPr>
        <a:solidFill>
          <a:sysClr val="window" lastClr="FFFFFF"/>
        </a:solid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legend>
    <c:plotVisOnly val="1"/>
    <c:dispBlanksAs val="gap"/>
    <c:showDLblsOverMax val="0"/>
  </c:chart>
  <c:spPr>
    <a:solidFill>
      <a:srgbClr val="DBEEF4"/>
    </a:solidFill>
    <a:ln w="9525" cap="flat" cmpd="sng" algn="ctr">
      <a:solidFill>
        <a:schemeClr val="tx1">
          <a:lumMod val="15000"/>
          <a:lumOff val="85000"/>
        </a:schemeClr>
      </a:solidFill>
      <a:round/>
    </a:ln>
    <a:effectLst/>
  </c:spPr>
  <c:txPr>
    <a:bodyPr/>
    <a:lstStyle/>
    <a:p>
      <a:pPr>
        <a:defRPr sz="700">
          <a:solidFill>
            <a:sysClr val="windowText" lastClr="000000"/>
          </a:solidFill>
        </a:defRPr>
      </a:pPr>
      <a:endParaRPr lang="de-DE"/>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gesamt!$E$635</c:f>
              <c:strCache>
                <c:ptCount val="1"/>
                <c:pt idx="0">
                  <c:v>erhöhen</c:v>
                </c:pt>
              </c:strCache>
            </c:strRef>
          </c:tx>
          <c:spPr>
            <a:solidFill>
              <a:srgbClr val="0197C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gesamt!$D$636:$D$637</c:f>
              <c:strCache>
                <c:ptCount val="2"/>
                <c:pt idx="0">
                  <c:v>Maschinen und Baugeräte</c:v>
                </c:pt>
                <c:pt idx="1">
                  <c:v>Digitalisierung</c:v>
                </c:pt>
              </c:strCache>
            </c:strRef>
          </c:cat>
          <c:val>
            <c:numRef>
              <c:f>gesamt!$E$636:$E$637</c:f>
              <c:numCache>
                <c:formatCode>0.0%</c:formatCode>
                <c:ptCount val="2"/>
                <c:pt idx="0">
                  <c:v>6.4000000000000001E-2</c:v>
                </c:pt>
                <c:pt idx="1">
                  <c:v>0.154</c:v>
                </c:pt>
              </c:numCache>
            </c:numRef>
          </c:val>
          <c:extLst>
            <c:ext xmlns:c16="http://schemas.microsoft.com/office/drawing/2014/chart" uri="{C3380CC4-5D6E-409C-BE32-E72D297353CC}">
              <c16:uniqueId val="{00000000-FEAE-4B31-A0DD-89C74DF9C63A}"/>
            </c:ext>
          </c:extLst>
        </c:ser>
        <c:ser>
          <c:idx val="1"/>
          <c:order val="1"/>
          <c:tx>
            <c:strRef>
              <c:f>gesamt!$F$635</c:f>
              <c:strCache>
                <c:ptCount val="1"/>
                <c:pt idx="0">
                  <c:v>halten</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gesamt!$D$636:$D$637</c:f>
              <c:strCache>
                <c:ptCount val="2"/>
                <c:pt idx="0">
                  <c:v>Maschinen und Baugeräte</c:v>
                </c:pt>
                <c:pt idx="1">
                  <c:v>Digitalisierung</c:v>
                </c:pt>
              </c:strCache>
            </c:strRef>
          </c:cat>
          <c:val>
            <c:numRef>
              <c:f>gesamt!$F$636:$F$637</c:f>
              <c:numCache>
                <c:formatCode>0.0%</c:formatCode>
                <c:ptCount val="2"/>
                <c:pt idx="0">
                  <c:v>0.52</c:v>
                </c:pt>
                <c:pt idx="1">
                  <c:v>0.54300000000000004</c:v>
                </c:pt>
              </c:numCache>
            </c:numRef>
          </c:val>
          <c:extLst>
            <c:ext xmlns:c16="http://schemas.microsoft.com/office/drawing/2014/chart" uri="{C3380CC4-5D6E-409C-BE32-E72D297353CC}">
              <c16:uniqueId val="{00000001-FEAE-4B31-A0DD-89C74DF9C63A}"/>
            </c:ext>
          </c:extLst>
        </c:ser>
        <c:ser>
          <c:idx val="2"/>
          <c:order val="2"/>
          <c:tx>
            <c:strRef>
              <c:f>gesamt!$G$635</c:f>
              <c:strCache>
                <c:ptCount val="1"/>
                <c:pt idx="0">
                  <c:v>senken</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gesamt!$D$636:$D$637</c:f>
              <c:strCache>
                <c:ptCount val="2"/>
                <c:pt idx="0">
                  <c:v>Maschinen und Baugeräte</c:v>
                </c:pt>
                <c:pt idx="1">
                  <c:v>Digitalisierung</c:v>
                </c:pt>
              </c:strCache>
            </c:strRef>
          </c:cat>
          <c:val>
            <c:numRef>
              <c:f>gesamt!$G$636:$G$637</c:f>
              <c:numCache>
                <c:formatCode>0.0%</c:formatCode>
                <c:ptCount val="2"/>
                <c:pt idx="0">
                  <c:v>0.41599999999999998</c:v>
                </c:pt>
                <c:pt idx="1">
                  <c:v>0.30399999999999999</c:v>
                </c:pt>
              </c:numCache>
            </c:numRef>
          </c:val>
          <c:extLst>
            <c:ext xmlns:c16="http://schemas.microsoft.com/office/drawing/2014/chart" uri="{C3380CC4-5D6E-409C-BE32-E72D297353CC}">
              <c16:uniqueId val="{00000002-FEAE-4B31-A0DD-89C74DF9C63A}"/>
            </c:ext>
          </c:extLst>
        </c:ser>
        <c:dLbls>
          <c:showLegendKey val="0"/>
          <c:showVal val="0"/>
          <c:showCatName val="0"/>
          <c:showSerName val="0"/>
          <c:showPercent val="0"/>
          <c:showBubbleSize val="0"/>
        </c:dLbls>
        <c:gapWidth val="219"/>
        <c:overlap val="100"/>
        <c:axId val="634059560"/>
        <c:axId val="634066120"/>
      </c:barChart>
      <c:catAx>
        <c:axId val="634059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634066120"/>
        <c:crosses val="autoZero"/>
        <c:auto val="1"/>
        <c:lblAlgn val="ctr"/>
        <c:lblOffset val="100"/>
        <c:noMultiLvlLbl val="0"/>
      </c:catAx>
      <c:valAx>
        <c:axId val="634066120"/>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34059560"/>
        <c:crosses val="autoZero"/>
        <c:crossBetween val="between"/>
      </c:valAx>
      <c:spPr>
        <a:solidFill>
          <a:sysClr val="window" lastClr="FFFFFF"/>
        </a:solid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legend>
    <c:plotVisOnly val="1"/>
    <c:dispBlanksAs val="gap"/>
    <c:showDLblsOverMax val="0"/>
  </c:chart>
  <c:spPr>
    <a:solidFill>
      <a:srgbClr val="DBEEF4"/>
    </a:solidFill>
    <a:ln w="9525" cap="flat" cmpd="sng" algn="ctr">
      <a:solidFill>
        <a:schemeClr val="tx1">
          <a:lumMod val="15000"/>
          <a:lumOff val="85000"/>
        </a:schemeClr>
      </a:solidFill>
      <a:round/>
    </a:ln>
    <a:effectLst/>
  </c:spPr>
  <c:txPr>
    <a:bodyPr/>
    <a:lstStyle/>
    <a:p>
      <a:pPr>
        <a:defRPr sz="700">
          <a:solidFill>
            <a:sysClr val="windowText" lastClr="000000"/>
          </a:solidFill>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r>
              <a:rPr lang="de-DE"/>
              <a:t>Ihre Umsätze erzielen Sie überwiegend</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barChart>
        <c:barDir val="col"/>
        <c:grouping val="clustered"/>
        <c:varyColors val="0"/>
        <c:ser>
          <c:idx val="0"/>
          <c:order val="0"/>
          <c:spPr>
            <a:solidFill>
              <a:srgbClr val="0197C6"/>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gesamt!$D$37:$E$39</c:f>
              <c:strCache>
                <c:ptCount val="3"/>
                <c:pt idx="0">
                  <c:v>im Neubau</c:v>
                </c:pt>
                <c:pt idx="1">
                  <c:v>im Bestand / (Modernisierung)</c:v>
                </c:pt>
                <c:pt idx="2">
                  <c:v>zu etwa gleichen Teilen im Neubau und Bestand / (Modernisierung)</c:v>
                </c:pt>
              </c:strCache>
            </c:strRef>
          </c:cat>
          <c:val>
            <c:numRef>
              <c:f>gesamt!$G$37:$G$39</c:f>
              <c:numCache>
                <c:formatCode>0.0%</c:formatCode>
                <c:ptCount val="3"/>
                <c:pt idx="0">
                  <c:v>0.34409257003654081</c:v>
                </c:pt>
                <c:pt idx="1">
                  <c:v>0.33252131546894031</c:v>
                </c:pt>
                <c:pt idx="2">
                  <c:v>0.32338611449451887</c:v>
                </c:pt>
              </c:numCache>
            </c:numRef>
          </c:val>
          <c:extLst>
            <c:ext xmlns:c16="http://schemas.microsoft.com/office/drawing/2014/chart" uri="{C3380CC4-5D6E-409C-BE32-E72D297353CC}">
              <c16:uniqueId val="{00000000-1621-40F8-9B78-9CD40C48EAFF}"/>
            </c:ext>
          </c:extLst>
        </c:ser>
        <c:dLbls>
          <c:showLegendKey val="0"/>
          <c:showVal val="0"/>
          <c:showCatName val="0"/>
          <c:showSerName val="0"/>
          <c:showPercent val="0"/>
          <c:showBubbleSize val="0"/>
        </c:dLbls>
        <c:gapWidth val="219"/>
        <c:overlap val="-27"/>
        <c:axId val="634059560"/>
        <c:axId val="634066120"/>
      </c:barChart>
      <c:catAx>
        <c:axId val="634059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crossAx val="634066120"/>
        <c:crosses val="autoZero"/>
        <c:auto val="1"/>
        <c:lblAlgn val="ctr"/>
        <c:lblOffset val="100"/>
        <c:noMultiLvlLbl val="0"/>
      </c:catAx>
      <c:valAx>
        <c:axId val="634066120"/>
        <c:scaling>
          <c:orientation val="minMax"/>
          <c:min val="0.300000000000000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crossAx val="634059560"/>
        <c:crosses val="autoZero"/>
        <c:crossBetween val="between"/>
        <c:majorUnit val="1.0000000000000002E-2"/>
      </c:valAx>
      <c:spPr>
        <a:solidFill>
          <a:sysClr val="window" lastClr="FFFFFF"/>
        </a:solidFill>
        <a:ln>
          <a:noFill/>
        </a:ln>
        <a:effectLst/>
      </c:spPr>
    </c:plotArea>
    <c:plotVisOnly val="1"/>
    <c:dispBlanksAs val="gap"/>
    <c:showDLblsOverMax val="0"/>
  </c:chart>
  <c:spPr>
    <a:solidFill>
      <a:srgbClr val="DBEEF4"/>
    </a:solidFill>
    <a:ln w="9525" cap="flat" cmpd="sng" algn="ctr">
      <a:solidFill>
        <a:schemeClr val="tx1">
          <a:lumMod val="15000"/>
          <a:lumOff val="85000"/>
        </a:schemeClr>
      </a:solidFill>
      <a:round/>
    </a:ln>
    <a:effectLst/>
  </c:spPr>
  <c:txPr>
    <a:bodyPr/>
    <a:lstStyle/>
    <a:p>
      <a:pPr>
        <a:defRPr sz="800">
          <a:solidFill>
            <a:schemeClr val="tx1">
              <a:lumMod val="65000"/>
              <a:lumOff val="35000"/>
            </a:schemeClr>
          </a:solidFill>
        </a:defRPr>
      </a:pPr>
      <a:endParaRPr lang="de-DE"/>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197C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gesamt!$D$697:$D$701</c:f>
              <c:strCache>
                <c:ptCount val="5"/>
                <c:pt idx="0">
                  <c:v>deutlich gestiegen</c:v>
                </c:pt>
                <c:pt idx="1">
                  <c:v>etwas gestiegen</c:v>
                </c:pt>
                <c:pt idx="2">
                  <c:v>etwa gleichgeblieben</c:v>
                </c:pt>
                <c:pt idx="3">
                  <c:v>eher gesunken</c:v>
                </c:pt>
                <c:pt idx="4">
                  <c:v>deutlich gesunken</c:v>
                </c:pt>
              </c:strCache>
            </c:strRef>
          </c:cat>
          <c:val>
            <c:numRef>
              <c:f>gesamt!$E$697:$E$701</c:f>
              <c:numCache>
                <c:formatCode>0.0%</c:formatCode>
                <c:ptCount val="5"/>
                <c:pt idx="0">
                  <c:v>9.0298962782184258E-2</c:v>
                </c:pt>
                <c:pt idx="1">
                  <c:v>0.37217815741305676</c:v>
                </c:pt>
                <c:pt idx="2">
                  <c:v>0.46064673581452104</c:v>
                </c:pt>
                <c:pt idx="3">
                  <c:v>7.3215375228798049E-2</c:v>
                </c:pt>
                <c:pt idx="4">
                  <c:v>3.6607687614399025E-3</c:v>
                </c:pt>
              </c:numCache>
            </c:numRef>
          </c:val>
          <c:extLst>
            <c:ext xmlns:c16="http://schemas.microsoft.com/office/drawing/2014/chart" uri="{C3380CC4-5D6E-409C-BE32-E72D297353CC}">
              <c16:uniqueId val="{00000000-9013-4F3E-BE7C-96484AB77FE8}"/>
            </c:ext>
          </c:extLst>
        </c:ser>
        <c:dLbls>
          <c:showLegendKey val="0"/>
          <c:showVal val="0"/>
          <c:showCatName val="0"/>
          <c:showSerName val="0"/>
          <c:showPercent val="0"/>
          <c:showBubbleSize val="0"/>
        </c:dLbls>
        <c:gapWidth val="70"/>
        <c:overlap val="-27"/>
        <c:axId val="634059560"/>
        <c:axId val="634066120"/>
      </c:barChart>
      <c:catAx>
        <c:axId val="634059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634066120"/>
        <c:crosses val="autoZero"/>
        <c:auto val="1"/>
        <c:lblAlgn val="ctr"/>
        <c:lblOffset val="100"/>
        <c:noMultiLvlLbl val="0"/>
      </c:catAx>
      <c:valAx>
        <c:axId val="634066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634059560"/>
        <c:crosses val="autoZero"/>
        <c:crossBetween val="between"/>
      </c:valAx>
      <c:spPr>
        <a:solidFill>
          <a:sysClr val="window" lastClr="FFFFFF"/>
        </a:solidFill>
        <a:ln>
          <a:noFill/>
        </a:ln>
        <a:effectLst/>
      </c:spPr>
    </c:plotArea>
    <c:plotVisOnly val="1"/>
    <c:dispBlanksAs val="gap"/>
    <c:showDLblsOverMax val="0"/>
  </c:chart>
  <c:spPr>
    <a:solidFill>
      <a:srgbClr val="DBEEF4"/>
    </a:solidFill>
    <a:ln w="9525" cap="flat" cmpd="sng" algn="ctr">
      <a:solidFill>
        <a:schemeClr val="tx1">
          <a:lumMod val="15000"/>
          <a:lumOff val="85000"/>
        </a:schemeClr>
      </a:solidFill>
      <a:round/>
    </a:ln>
    <a:effectLst/>
  </c:spPr>
  <c:txPr>
    <a:bodyPr/>
    <a:lstStyle/>
    <a:p>
      <a:pPr>
        <a:defRPr sz="700">
          <a:solidFill>
            <a:sysClr val="windowText" lastClr="000000"/>
          </a:solidFill>
        </a:defRPr>
      </a:pPr>
      <a:endParaRPr lang="de-DE"/>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197C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gesamt!$D$723:$D$727</c:f>
              <c:strCache>
                <c:ptCount val="5"/>
                <c:pt idx="0">
                  <c:v>deutlich steigen</c:v>
                </c:pt>
                <c:pt idx="1">
                  <c:v>etwas steigen</c:v>
                </c:pt>
                <c:pt idx="2">
                  <c:v>etwa gleich bleiben</c:v>
                </c:pt>
                <c:pt idx="3">
                  <c:v>eher sinken</c:v>
                </c:pt>
                <c:pt idx="4">
                  <c:v>deutlich sinken</c:v>
                </c:pt>
              </c:strCache>
            </c:strRef>
          </c:cat>
          <c:val>
            <c:numRef>
              <c:f>gesamt!$E$723:$E$727</c:f>
              <c:numCache>
                <c:formatCode>0.0%</c:formatCode>
                <c:ptCount val="5"/>
                <c:pt idx="0">
                  <c:v>0.13243408951563457</c:v>
                </c:pt>
                <c:pt idx="1">
                  <c:v>0.53648068669527893</c:v>
                </c:pt>
                <c:pt idx="2">
                  <c:v>0.29675045984058862</c:v>
                </c:pt>
                <c:pt idx="3">
                  <c:v>3.3108522378908642E-2</c:v>
                </c:pt>
                <c:pt idx="4">
                  <c:v>1.226241569589209E-3</c:v>
                </c:pt>
              </c:numCache>
            </c:numRef>
          </c:val>
          <c:extLst>
            <c:ext xmlns:c16="http://schemas.microsoft.com/office/drawing/2014/chart" uri="{C3380CC4-5D6E-409C-BE32-E72D297353CC}">
              <c16:uniqueId val="{00000000-DCF4-47C4-B0D8-F03E1688322D}"/>
            </c:ext>
          </c:extLst>
        </c:ser>
        <c:dLbls>
          <c:showLegendKey val="0"/>
          <c:showVal val="0"/>
          <c:showCatName val="0"/>
          <c:showSerName val="0"/>
          <c:showPercent val="0"/>
          <c:showBubbleSize val="0"/>
        </c:dLbls>
        <c:gapWidth val="70"/>
        <c:overlap val="-27"/>
        <c:axId val="634059560"/>
        <c:axId val="634066120"/>
      </c:barChart>
      <c:catAx>
        <c:axId val="634059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634066120"/>
        <c:crosses val="autoZero"/>
        <c:auto val="1"/>
        <c:lblAlgn val="ctr"/>
        <c:lblOffset val="100"/>
        <c:noMultiLvlLbl val="0"/>
      </c:catAx>
      <c:valAx>
        <c:axId val="634066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634059560"/>
        <c:crosses val="autoZero"/>
        <c:crossBetween val="between"/>
      </c:valAx>
      <c:spPr>
        <a:solidFill>
          <a:sysClr val="window" lastClr="FFFFFF"/>
        </a:solidFill>
        <a:ln>
          <a:noFill/>
        </a:ln>
        <a:effectLst/>
      </c:spPr>
    </c:plotArea>
    <c:plotVisOnly val="1"/>
    <c:dispBlanksAs val="gap"/>
    <c:showDLblsOverMax val="0"/>
  </c:chart>
  <c:spPr>
    <a:solidFill>
      <a:srgbClr val="DBEEF4"/>
    </a:solidFill>
    <a:ln w="9525" cap="flat" cmpd="sng" algn="ctr">
      <a:solidFill>
        <a:schemeClr val="tx1">
          <a:lumMod val="15000"/>
          <a:lumOff val="85000"/>
        </a:schemeClr>
      </a:solidFill>
      <a:round/>
    </a:ln>
    <a:effectLst/>
  </c:spPr>
  <c:txPr>
    <a:bodyPr/>
    <a:lstStyle/>
    <a:p>
      <a:pPr>
        <a:defRPr sz="700">
          <a:solidFill>
            <a:sysClr val="windowText" lastClr="000000"/>
          </a:solidFill>
        </a:defRPr>
      </a:pPr>
      <a:endParaRPr lang="de-DE"/>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gesamt!$E$748</c:f>
              <c:strCache>
                <c:ptCount val="1"/>
                <c:pt idx="0">
                  <c:v>gering</c:v>
                </c:pt>
              </c:strCache>
            </c:strRef>
          </c:tx>
          <c:spPr>
            <a:solidFill>
              <a:schemeClr val="accent1"/>
            </a:solidFill>
            <a:ln>
              <a:noFill/>
            </a:ln>
            <a:effectLst/>
          </c:spPr>
          <c:invertIfNegative val="0"/>
          <c:cat>
            <c:strRef>
              <c:f>gesamt!$D$749:$D$757</c:f>
              <c:strCache>
                <c:ptCount val="9"/>
                <c:pt idx="0">
                  <c:v>Sand, Kies</c:v>
                </c:pt>
                <c:pt idx="1">
                  <c:v>Beton, Zement</c:v>
                </c:pt>
                <c:pt idx="2">
                  <c:v>Mauersteine, Ziegel, Dachziegel, Fliesen</c:v>
                </c:pt>
                <c:pt idx="3">
                  <c:v>Gipsprodukte</c:v>
                </c:pt>
                <c:pt idx="4">
                  <c:v>Stahlprodukte</c:v>
                </c:pt>
                <c:pt idx="5">
                  <c:v>Bitumen</c:v>
                </c:pt>
                <c:pt idx="6">
                  <c:v>Kunststoffe</c:v>
                </c:pt>
                <c:pt idx="7">
                  <c:v>Holzprodukte</c:v>
                </c:pt>
                <c:pt idx="8">
                  <c:v>Baumaschinen 
und Geräte</c:v>
                </c:pt>
              </c:strCache>
            </c:strRef>
          </c:cat>
          <c:val>
            <c:numRef>
              <c:f>gesamt!$E$749:$E$757</c:f>
              <c:numCache>
                <c:formatCode>0.0%</c:formatCode>
                <c:ptCount val="9"/>
                <c:pt idx="0">
                  <c:v>2.8571428571428571E-3</c:v>
                </c:pt>
                <c:pt idx="1">
                  <c:v>2.871500358937545E-3</c:v>
                </c:pt>
                <c:pt idx="2">
                  <c:v>9.4752186588921289E-3</c:v>
                </c:pt>
                <c:pt idx="3">
                  <c:v>5.0977060322854716E-3</c:v>
                </c:pt>
                <c:pt idx="4">
                  <c:v>3.5823170731707314E-2</c:v>
                </c:pt>
                <c:pt idx="5">
                  <c:v>2.4691358024691358E-3</c:v>
                </c:pt>
                <c:pt idx="6">
                  <c:v>1.0645848119233499E-2</c:v>
                </c:pt>
                <c:pt idx="7">
                  <c:v>1.430722891566265E-2</c:v>
                </c:pt>
                <c:pt idx="8">
                  <c:v>8.9224433768016476E-3</c:v>
                </c:pt>
              </c:numCache>
            </c:numRef>
          </c:val>
          <c:extLst>
            <c:ext xmlns:c16="http://schemas.microsoft.com/office/drawing/2014/chart" uri="{C3380CC4-5D6E-409C-BE32-E72D297353CC}">
              <c16:uniqueId val="{00000000-3524-4C16-9738-088E1F2F7CAA}"/>
            </c:ext>
          </c:extLst>
        </c:ser>
        <c:ser>
          <c:idx val="1"/>
          <c:order val="1"/>
          <c:tx>
            <c:strRef>
              <c:f>gesamt!$F$748</c:f>
              <c:strCache>
                <c:ptCount val="1"/>
                <c:pt idx="0">
                  <c:v>normal</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gesamt!$D$749:$D$757</c:f>
              <c:strCache>
                <c:ptCount val="9"/>
                <c:pt idx="0">
                  <c:v>Sand, Kies</c:v>
                </c:pt>
                <c:pt idx="1">
                  <c:v>Beton, Zement</c:v>
                </c:pt>
                <c:pt idx="2">
                  <c:v>Mauersteine, Ziegel, Dachziegel, Fliesen</c:v>
                </c:pt>
                <c:pt idx="3">
                  <c:v>Gipsprodukte</c:v>
                </c:pt>
                <c:pt idx="4">
                  <c:v>Stahlprodukte</c:v>
                </c:pt>
                <c:pt idx="5">
                  <c:v>Bitumen</c:v>
                </c:pt>
                <c:pt idx="6">
                  <c:v>Kunststoffe</c:v>
                </c:pt>
                <c:pt idx="7">
                  <c:v>Holzprodukte</c:v>
                </c:pt>
                <c:pt idx="8">
                  <c:v>Baumaschinen 
und Geräte</c:v>
                </c:pt>
              </c:strCache>
            </c:strRef>
          </c:cat>
          <c:val>
            <c:numRef>
              <c:f>gesamt!$F$749:$F$757</c:f>
              <c:numCache>
                <c:formatCode>0.0%</c:formatCode>
                <c:ptCount val="9"/>
                <c:pt idx="0">
                  <c:v>0.31571428571428573</c:v>
                </c:pt>
                <c:pt idx="1">
                  <c:v>0.1306532663316583</c:v>
                </c:pt>
                <c:pt idx="2">
                  <c:v>0.28061224489795916</c:v>
                </c:pt>
                <c:pt idx="3">
                  <c:v>0.26677994902293967</c:v>
                </c:pt>
                <c:pt idx="4">
                  <c:v>0.41920731707317072</c:v>
                </c:pt>
                <c:pt idx="5">
                  <c:v>0.19506172839506172</c:v>
                </c:pt>
                <c:pt idx="6">
                  <c:v>0.28034066713981548</c:v>
                </c:pt>
                <c:pt idx="7">
                  <c:v>0.47063253012048195</c:v>
                </c:pt>
                <c:pt idx="8">
                  <c:v>0.22031571722717913</c:v>
                </c:pt>
              </c:numCache>
            </c:numRef>
          </c:val>
          <c:extLst>
            <c:ext xmlns:c16="http://schemas.microsoft.com/office/drawing/2014/chart" uri="{C3380CC4-5D6E-409C-BE32-E72D297353CC}">
              <c16:uniqueId val="{00000001-3524-4C16-9738-088E1F2F7CAA}"/>
            </c:ext>
          </c:extLst>
        </c:ser>
        <c:ser>
          <c:idx val="2"/>
          <c:order val="2"/>
          <c:tx>
            <c:strRef>
              <c:f>gesamt!$G$748</c:f>
              <c:strCache>
                <c:ptCount val="1"/>
                <c:pt idx="0">
                  <c:v>hoch</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gesamt!$D$749:$D$757</c:f>
              <c:strCache>
                <c:ptCount val="9"/>
                <c:pt idx="0">
                  <c:v>Sand, Kies</c:v>
                </c:pt>
                <c:pt idx="1">
                  <c:v>Beton, Zement</c:v>
                </c:pt>
                <c:pt idx="2">
                  <c:v>Mauersteine, Ziegel, Dachziegel, Fliesen</c:v>
                </c:pt>
                <c:pt idx="3">
                  <c:v>Gipsprodukte</c:v>
                </c:pt>
                <c:pt idx="4">
                  <c:v>Stahlprodukte</c:v>
                </c:pt>
                <c:pt idx="5">
                  <c:v>Bitumen</c:v>
                </c:pt>
                <c:pt idx="6">
                  <c:v>Kunststoffe</c:v>
                </c:pt>
                <c:pt idx="7">
                  <c:v>Holzprodukte</c:v>
                </c:pt>
                <c:pt idx="8">
                  <c:v>Baumaschinen 
und Geräte</c:v>
                </c:pt>
              </c:strCache>
            </c:strRef>
          </c:cat>
          <c:val>
            <c:numRef>
              <c:f>gesamt!$G$749:$G$757</c:f>
              <c:numCache>
                <c:formatCode>0.0%</c:formatCode>
                <c:ptCount val="9"/>
                <c:pt idx="0">
                  <c:v>0.4042857142857143</c:v>
                </c:pt>
                <c:pt idx="1">
                  <c:v>0.36683417085427134</c:v>
                </c:pt>
                <c:pt idx="2">
                  <c:v>0.44169096209912534</c:v>
                </c:pt>
                <c:pt idx="3">
                  <c:v>0.37723024638912489</c:v>
                </c:pt>
                <c:pt idx="4">
                  <c:v>0.31707317073170732</c:v>
                </c:pt>
                <c:pt idx="5">
                  <c:v>0.4</c:v>
                </c:pt>
                <c:pt idx="6">
                  <c:v>0.45209368346344925</c:v>
                </c:pt>
                <c:pt idx="7">
                  <c:v>0.30722891566265059</c:v>
                </c:pt>
                <c:pt idx="8">
                  <c:v>0.41729581331503091</c:v>
                </c:pt>
              </c:numCache>
            </c:numRef>
          </c:val>
          <c:extLst>
            <c:ext xmlns:c16="http://schemas.microsoft.com/office/drawing/2014/chart" uri="{C3380CC4-5D6E-409C-BE32-E72D297353CC}">
              <c16:uniqueId val="{00000002-3524-4C16-9738-088E1F2F7CAA}"/>
            </c:ext>
          </c:extLst>
        </c:ser>
        <c:ser>
          <c:idx val="3"/>
          <c:order val="3"/>
          <c:tx>
            <c:strRef>
              <c:f>gesamt!$H$748</c:f>
              <c:strCache>
                <c:ptCount val="1"/>
                <c:pt idx="0">
                  <c:v>sehr hoch</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gesamt!$D$749:$D$757</c:f>
              <c:strCache>
                <c:ptCount val="9"/>
                <c:pt idx="0">
                  <c:v>Sand, Kies</c:v>
                </c:pt>
                <c:pt idx="1">
                  <c:v>Beton, Zement</c:v>
                </c:pt>
                <c:pt idx="2">
                  <c:v>Mauersteine, Ziegel, Dachziegel, Fliesen</c:v>
                </c:pt>
                <c:pt idx="3">
                  <c:v>Gipsprodukte</c:v>
                </c:pt>
                <c:pt idx="4">
                  <c:v>Stahlprodukte</c:v>
                </c:pt>
                <c:pt idx="5">
                  <c:v>Bitumen</c:v>
                </c:pt>
                <c:pt idx="6">
                  <c:v>Kunststoffe</c:v>
                </c:pt>
                <c:pt idx="7">
                  <c:v>Holzprodukte</c:v>
                </c:pt>
                <c:pt idx="8">
                  <c:v>Baumaschinen 
und Geräte</c:v>
                </c:pt>
              </c:strCache>
            </c:strRef>
          </c:cat>
          <c:val>
            <c:numRef>
              <c:f>gesamt!$H$749:$H$757</c:f>
              <c:numCache>
                <c:formatCode>0.0%</c:formatCode>
                <c:ptCount val="9"/>
                <c:pt idx="0">
                  <c:v>0.12071428571428572</c:v>
                </c:pt>
                <c:pt idx="1">
                  <c:v>0.38478104809763103</c:v>
                </c:pt>
                <c:pt idx="2">
                  <c:v>0.15524781341107871</c:v>
                </c:pt>
                <c:pt idx="3">
                  <c:v>0.11979609175870858</c:v>
                </c:pt>
                <c:pt idx="4">
                  <c:v>0.10823170731707317</c:v>
                </c:pt>
                <c:pt idx="5">
                  <c:v>0.18930041152263374</c:v>
                </c:pt>
                <c:pt idx="6">
                  <c:v>0.17530163236337828</c:v>
                </c:pt>
                <c:pt idx="7">
                  <c:v>7.8313253012048195E-2</c:v>
                </c:pt>
                <c:pt idx="8">
                  <c:v>0.29375428963623884</c:v>
                </c:pt>
              </c:numCache>
            </c:numRef>
          </c:val>
          <c:extLst>
            <c:ext xmlns:c16="http://schemas.microsoft.com/office/drawing/2014/chart" uri="{C3380CC4-5D6E-409C-BE32-E72D297353CC}">
              <c16:uniqueId val="{00000003-3524-4C16-9738-088E1F2F7CAA}"/>
            </c:ext>
          </c:extLst>
        </c:ser>
        <c:ser>
          <c:idx val="4"/>
          <c:order val="4"/>
          <c:tx>
            <c:strRef>
              <c:f>gesamt!$I$748</c:f>
              <c:strCache>
                <c:ptCount val="1"/>
                <c:pt idx="0">
                  <c:v>keine Angabe</c:v>
                </c:pt>
              </c:strCache>
            </c:strRef>
          </c:tx>
          <c:spPr>
            <a:solidFill>
              <a:schemeClr val="bg1">
                <a:lumMod val="85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gesamt!$D$749:$D$757</c:f>
              <c:strCache>
                <c:ptCount val="9"/>
                <c:pt idx="0">
                  <c:v>Sand, Kies</c:v>
                </c:pt>
                <c:pt idx="1">
                  <c:v>Beton, Zement</c:v>
                </c:pt>
                <c:pt idx="2">
                  <c:v>Mauersteine, Ziegel, Dachziegel, Fliesen</c:v>
                </c:pt>
                <c:pt idx="3">
                  <c:v>Gipsprodukte</c:v>
                </c:pt>
                <c:pt idx="4">
                  <c:v>Stahlprodukte</c:v>
                </c:pt>
                <c:pt idx="5">
                  <c:v>Bitumen</c:v>
                </c:pt>
                <c:pt idx="6">
                  <c:v>Kunststoffe</c:v>
                </c:pt>
                <c:pt idx="7">
                  <c:v>Holzprodukte</c:v>
                </c:pt>
                <c:pt idx="8">
                  <c:v>Baumaschinen 
und Geräte</c:v>
                </c:pt>
              </c:strCache>
            </c:strRef>
          </c:cat>
          <c:val>
            <c:numRef>
              <c:f>gesamt!$I$749:$I$757</c:f>
              <c:numCache>
                <c:formatCode>0.0%</c:formatCode>
                <c:ptCount val="9"/>
                <c:pt idx="0">
                  <c:v>0.15642857142857142</c:v>
                </c:pt>
                <c:pt idx="1">
                  <c:v>0.11486001435750179</c:v>
                </c:pt>
                <c:pt idx="2">
                  <c:v>0.1129737609329446</c:v>
                </c:pt>
                <c:pt idx="3">
                  <c:v>0.23109600679694137</c:v>
                </c:pt>
                <c:pt idx="4">
                  <c:v>0.11966463414634146</c:v>
                </c:pt>
                <c:pt idx="5">
                  <c:v>0.21316872427983538</c:v>
                </c:pt>
                <c:pt idx="6">
                  <c:v>8.161816891412349E-2</c:v>
                </c:pt>
                <c:pt idx="7">
                  <c:v>0.12951807228915663</c:v>
                </c:pt>
                <c:pt idx="8">
                  <c:v>5.9711736444749489E-2</c:v>
                </c:pt>
              </c:numCache>
            </c:numRef>
          </c:val>
          <c:extLst>
            <c:ext xmlns:c16="http://schemas.microsoft.com/office/drawing/2014/chart" uri="{C3380CC4-5D6E-409C-BE32-E72D297353CC}">
              <c16:uniqueId val="{00000004-3524-4C16-9738-088E1F2F7CAA}"/>
            </c:ext>
          </c:extLst>
        </c:ser>
        <c:dLbls>
          <c:showLegendKey val="0"/>
          <c:showVal val="0"/>
          <c:showCatName val="0"/>
          <c:showSerName val="0"/>
          <c:showPercent val="0"/>
          <c:showBubbleSize val="0"/>
        </c:dLbls>
        <c:gapWidth val="110"/>
        <c:overlap val="100"/>
        <c:axId val="634059560"/>
        <c:axId val="634066120"/>
        <c:extLst/>
      </c:barChart>
      <c:catAx>
        <c:axId val="634059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de-DE"/>
          </a:p>
        </c:txPr>
        <c:crossAx val="634066120"/>
        <c:crosses val="autoZero"/>
        <c:auto val="1"/>
        <c:lblAlgn val="ctr"/>
        <c:lblOffset val="100"/>
        <c:noMultiLvlLbl val="0"/>
      </c:catAx>
      <c:valAx>
        <c:axId val="634066120"/>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34059560"/>
        <c:crosses val="autoZero"/>
        <c:crossBetween val="between"/>
      </c:valAx>
      <c:spPr>
        <a:solidFill>
          <a:sysClr val="window" lastClr="FFFFFF"/>
        </a:solid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de-DE"/>
        </a:p>
      </c:txPr>
    </c:legend>
    <c:plotVisOnly val="1"/>
    <c:dispBlanksAs val="gap"/>
    <c:showDLblsOverMax val="0"/>
  </c:chart>
  <c:spPr>
    <a:solidFill>
      <a:srgbClr val="DBEEF4"/>
    </a:solidFill>
    <a:ln w="9525" cap="flat" cmpd="sng" algn="ctr">
      <a:solidFill>
        <a:schemeClr val="tx1">
          <a:lumMod val="15000"/>
          <a:lumOff val="85000"/>
        </a:schemeClr>
      </a:solidFill>
      <a:round/>
    </a:ln>
    <a:effectLst/>
  </c:spPr>
  <c:txPr>
    <a:bodyPr/>
    <a:lstStyle/>
    <a:p>
      <a:pPr>
        <a:defRPr sz="800">
          <a:solidFill>
            <a:sysClr val="windowText" lastClr="000000"/>
          </a:solidFill>
        </a:defRPr>
      </a:pPr>
      <a:endParaRPr lang="de-DE"/>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gesamt!$E$783</c:f>
              <c:strCache>
                <c:ptCount val="1"/>
                <c:pt idx="0">
                  <c:v>problemlos</c:v>
                </c:pt>
              </c:strCache>
            </c:strRef>
          </c:tx>
          <c:spPr>
            <a:solidFill>
              <a:srgbClr val="0197C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gesamt!$D$784:$D$792</c:f>
              <c:strCache>
                <c:ptCount val="9"/>
                <c:pt idx="0">
                  <c:v>Sand, Kies</c:v>
                </c:pt>
                <c:pt idx="1">
                  <c:v>Beton, Zement</c:v>
                </c:pt>
                <c:pt idx="2">
                  <c:v>Mauersteine, Ziegel, Dachziegel, Fliesen</c:v>
                </c:pt>
                <c:pt idx="3">
                  <c:v>Gipsprodukte</c:v>
                </c:pt>
                <c:pt idx="4">
                  <c:v>Stahlprodukte</c:v>
                </c:pt>
                <c:pt idx="5">
                  <c:v>Bitumen</c:v>
                </c:pt>
                <c:pt idx="6">
                  <c:v>Kunststoffe</c:v>
                </c:pt>
                <c:pt idx="7">
                  <c:v>Holzprodukte</c:v>
                </c:pt>
                <c:pt idx="8">
                  <c:v>Baumaschinen 
und Geräte</c:v>
                </c:pt>
              </c:strCache>
            </c:strRef>
          </c:cat>
          <c:val>
            <c:numRef>
              <c:f>gesamt!$E$784:$E$792</c:f>
              <c:numCache>
                <c:formatCode>0.0%</c:formatCode>
                <c:ptCount val="9"/>
                <c:pt idx="0">
                  <c:v>0.77699364855328157</c:v>
                </c:pt>
                <c:pt idx="1">
                  <c:v>0.83642857142857141</c:v>
                </c:pt>
                <c:pt idx="2">
                  <c:v>0.76551226551226548</c:v>
                </c:pt>
                <c:pt idx="3">
                  <c:v>0.71724709784411278</c:v>
                </c:pt>
                <c:pt idx="4">
                  <c:v>0.78669724770642202</c:v>
                </c:pt>
                <c:pt idx="5">
                  <c:v>0.68582995951417003</c:v>
                </c:pt>
                <c:pt idx="6">
                  <c:v>0.80601288475304222</c:v>
                </c:pt>
                <c:pt idx="7">
                  <c:v>0.76319758672699844</c:v>
                </c:pt>
                <c:pt idx="8">
                  <c:v>0.65068002863278451</c:v>
                </c:pt>
              </c:numCache>
            </c:numRef>
          </c:val>
          <c:extLst>
            <c:ext xmlns:c16="http://schemas.microsoft.com/office/drawing/2014/chart" uri="{C3380CC4-5D6E-409C-BE32-E72D297353CC}">
              <c16:uniqueId val="{00000000-9951-46FD-84DE-EBBE9291E118}"/>
            </c:ext>
          </c:extLst>
        </c:ser>
        <c:ser>
          <c:idx val="1"/>
          <c:order val="1"/>
          <c:tx>
            <c:strRef>
              <c:f>gesamt!$F$783</c:f>
              <c:strCache>
                <c:ptCount val="1"/>
                <c:pt idx="0">
                  <c:v>eingeschränkt</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gesamt!$D$784:$D$792</c:f>
              <c:strCache>
                <c:ptCount val="9"/>
                <c:pt idx="0">
                  <c:v>Sand, Kies</c:v>
                </c:pt>
                <c:pt idx="1">
                  <c:v>Beton, Zement</c:v>
                </c:pt>
                <c:pt idx="2">
                  <c:v>Mauersteine, Ziegel, Dachziegel, Fliesen</c:v>
                </c:pt>
                <c:pt idx="3">
                  <c:v>Gipsprodukte</c:v>
                </c:pt>
                <c:pt idx="4">
                  <c:v>Stahlprodukte</c:v>
                </c:pt>
                <c:pt idx="5">
                  <c:v>Bitumen</c:v>
                </c:pt>
                <c:pt idx="6">
                  <c:v>Kunststoffe</c:v>
                </c:pt>
                <c:pt idx="7">
                  <c:v>Holzprodukte</c:v>
                </c:pt>
                <c:pt idx="8">
                  <c:v>Baumaschinen 
und Geräte</c:v>
                </c:pt>
              </c:strCache>
            </c:strRef>
          </c:cat>
          <c:val>
            <c:numRef>
              <c:f>gesamt!$F$784:$F$792</c:f>
              <c:numCache>
                <c:formatCode>0.0%</c:formatCode>
                <c:ptCount val="9"/>
                <c:pt idx="0">
                  <c:v>6.9865913902611154E-2</c:v>
                </c:pt>
                <c:pt idx="1">
                  <c:v>0.04</c:v>
                </c:pt>
                <c:pt idx="2">
                  <c:v>0.11038961038961038</c:v>
                </c:pt>
                <c:pt idx="3">
                  <c:v>4.8922056384742951E-2</c:v>
                </c:pt>
                <c:pt idx="4">
                  <c:v>7.9510703363914373E-2</c:v>
                </c:pt>
                <c:pt idx="5">
                  <c:v>8.1781376518218624E-2</c:v>
                </c:pt>
                <c:pt idx="6">
                  <c:v>9.234073013600573E-2</c:v>
                </c:pt>
                <c:pt idx="7">
                  <c:v>7.7677224736048267E-2</c:v>
                </c:pt>
                <c:pt idx="8">
                  <c:v>0.2297780959198282</c:v>
                </c:pt>
              </c:numCache>
            </c:numRef>
          </c:val>
          <c:extLst>
            <c:ext xmlns:c16="http://schemas.microsoft.com/office/drawing/2014/chart" uri="{C3380CC4-5D6E-409C-BE32-E72D297353CC}">
              <c16:uniqueId val="{00000001-9951-46FD-84DE-EBBE9291E118}"/>
            </c:ext>
          </c:extLst>
        </c:ser>
        <c:ser>
          <c:idx val="2"/>
          <c:order val="2"/>
          <c:tx>
            <c:strRef>
              <c:f>gesamt!$G$783</c:f>
              <c:strCache>
                <c:ptCount val="1"/>
                <c:pt idx="0">
                  <c:v>kaum</c:v>
                </c:pt>
              </c:strCache>
            </c:strRef>
          </c:tx>
          <c:spPr>
            <a:solidFill>
              <a:srgbClr val="002060"/>
            </a:solidFill>
            <a:ln>
              <a:noFill/>
            </a:ln>
            <a:effectLst/>
          </c:spPr>
          <c:invertIfNegative val="0"/>
          <c:cat>
            <c:strRef>
              <c:f>gesamt!$D$784:$D$792</c:f>
              <c:strCache>
                <c:ptCount val="9"/>
                <c:pt idx="0">
                  <c:v>Sand, Kies</c:v>
                </c:pt>
                <c:pt idx="1">
                  <c:v>Beton, Zement</c:v>
                </c:pt>
                <c:pt idx="2">
                  <c:v>Mauersteine, Ziegel, Dachziegel, Fliesen</c:v>
                </c:pt>
                <c:pt idx="3">
                  <c:v>Gipsprodukte</c:v>
                </c:pt>
                <c:pt idx="4">
                  <c:v>Stahlprodukte</c:v>
                </c:pt>
                <c:pt idx="5">
                  <c:v>Bitumen</c:v>
                </c:pt>
                <c:pt idx="6">
                  <c:v>Kunststoffe</c:v>
                </c:pt>
                <c:pt idx="7">
                  <c:v>Holzprodukte</c:v>
                </c:pt>
                <c:pt idx="8">
                  <c:v>Baumaschinen 
und Geräte</c:v>
                </c:pt>
              </c:strCache>
            </c:strRef>
          </c:cat>
          <c:val>
            <c:numRef>
              <c:f>gesamt!$G$784:$G$792</c:f>
              <c:numCache>
                <c:formatCode>0.0%</c:formatCode>
                <c:ptCount val="9"/>
                <c:pt idx="0">
                  <c:v>1.4114326040931546E-2</c:v>
                </c:pt>
                <c:pt idx="1">
                  <c:v>7.1428571428571426E-3</c:v>
                </c:pt>
                <c:pt idx="2">
                  <c:v>1.0101010101010102E-2</c:v>
                </c:pt>
                <c:pt idx="3">
                  <c:v>1.3266998341625208E-2</c:v>
                </c:pt>
                <c:pt idx="4">
                  <c:v>1.2996941896024464E-2</c:v>
                </c:pt>
                <c:pt idx="5">
                  <c:v>1.6194331983805668E-2</c:v>
                </c:pt>
                <c:pt idx="6">
                  <c:v>1.4316392269148175E-2</c:v>
                </c:pt>
                <c:pt idx="7">
                  <c:v>1.5082956259426848E-2</c:v>
                </c:pt>
                <c:pt idx="8">
                  <c:v>2.4337866857551897E-2</c:v>
                </c:pt>
              </c:numCache>
            </c:numRef>
          </c:val>
          <c:extLst>
            <c:ext xmlns:c16="http://schemas.microsoft.com/office/drawing/2014/chart" uri="{C3380CC4-5D6E-409C-BE32-E72D297353CC}">
              <c16:uniqueId val="{00000002-9951-46FD-84DE-EBBE9291E118}"/>
            </c:ext>
          </c:extLst>
        </c:ser>
        <c:ser>
          <c:idx val="3"/>
          <c:order val="3"/>
          <c:tx>
            <c:strRef>
              <c:f>gesamt!$H$783</c:f>
              <c:strCache>
                <c:ptCount val="1"/>
                <c:pt idx="0">
                  <c:v>gar nicht</c:v>
                </c:pt>
              </c:strCache>
            </c:strRef>
          </c:tx>
          <c:spPr>
            <a:solidFill>
              <a:schemeClr val="bg1">
                <a:lumMod val="50000"/>
              </a:schemeClr>
            </a:solidFill>
            <a:ln>
              <a:noFill/>
            </a:ln>
            <a:effectLst/>
          </c:spPr>
          <c:invertIfNegative val="0"/>
          <c:cat>
            <c:strRef>
              <c:f>gesamt!$D$784:$D$792</c:f>
              <c:strCache>
                <c:ptCount val="9"/>
                <c:pt idx="0">
                  <c:v>Sand, Kies</c:v>
                </c:pt>
                <c:pt idx="1">
                  <c:v>Beton, Zement</c:v>
                </c:pt>
                <c:pt idx="2">
                  <c:v>Mauersteine, Ziegel, Dachziegel, Fliesen</c:v>
                </c:pt>
                <c:pt idx="3">
                  <c:v>Gipsprodukte</c:v>
                </c:pt>
                <c:pt idx="4">
                  <c:v>Stahlprodukte</c:v>
                </c:pt>
                <c:pt idx="5">
                  <c:v>Bitumen</c:v>
                </c:pt>
                <c:pt idx="6">
                  <c:v>Kunststoffe</c:v>
                </c:pt>
                <c:pt idx="7">
                  <c:v>Holzprodukte</c:v>
                </c:pt>
                <c:pt idx="8">
                  <c:v>Baumaschinen 
und Geräte</c:v>
                </c:pt>
              </c:strCache>
            </c:strRef>
          </c:cat>
          <c:val>
            <c:numRef>
              <c:f>gesamt!$H$784:$H$792</c:f>
              <c:numCache>
                <c:formatCode>0.0%</c:formatCode>
                <c:ptCount val="9"/>
                <c:pt idx="0">
                  <c:v>4.2342978122794639E-3</c:v>
                </c:pt>
                <c:pt idx="1">
                  <c:v>7.1428571428571426E-3</c:v>
                </c:pt>
                <c:pt idx="2">
                  <c:v>7.9365079365079361E-3</c:v>
                </c:pt>
                <c:pt idx="3">
                  <c:v>8.291873963515755E-3</c:v>
                </c:pt>
                <c:pt idx="4">
                  <c:v>8.4097859327217118E-3</c:v>
                </c:pt>
                <c:pt idx="5">
                  <c:v>8.0971659919028341E-3</c:v>
                </c:pt>
                <c:pt idx="6">
                  <c:v>7.1581961345740875E-3</c:v>
                </c:pt>
                <c:pt idx="7">
                  <c:v>9.0497737556561094E-3</c:v>
                </c:pt>
                <c:pt idx="8">
                  <c:v>1.0021474588403722E-2</c:v>
                </c:pt>
              </c:numCache>
            </c:numRef>
          </c:val>
          <c:extLst>
            <c:ext xmlns:c16="http://schemas.microsoft.com/office/drawing/2014/chart" uri="{C3380CC4-5D6E-409C-BE32-E72D297353CC}">
              <c16:uniqueId val="{00000003-9951-46FD-84DE-EBBE9291E118}"/>
            </c:ext>
          </c:extLst>
        </c:ser>
        <c:ser>
          <c:idx val="4"/>
          <c:order val="4"/>
          <c:tx>
            <c:strRef>
              <c:f>gesamt!$I$783</c:f>
              <c:strCache>
                <c:ptCount val="1"/>
                <c:pt idx="0">
                  <c:v>keine Angabe</c:v>
                </c:pt>
              </c:strCache>
            </c:strRef>
          </c:tx>
          <c:spPr>
            <a:solidFill>
              <a:schemeClr val="bg2">
                <a:lumMod val="85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gesamt!$D$784:$D$792</c:f>
              <c:strCache>
                <c:ptCount val="9"/>
                <c:pt idx="0">
                  <c:v>Sand, Kies</c:v>
                </c:pt>
                <c:pt idx="1">
                  <c:v>Beton, Zement</c:v>
                </c:pt>
                <c:pt idx="2">
                  <c:v>Mauersteine, Ziegel, Dachziegel, Fliesen</c:v>
                </c:pt>
                <c:pt idx="3">
                  <c:v>Gipsprodukte</c:v>
                </c:pt>
                <c:pt idx="4">
                  <c:v>Stahlprodukte</c:v>
                </c:pt>
                <c:pt idx="5">
                  <c:v>Bitumen</c:v>
                </c:pt>
                <c:pt idx="6">
                  <c:v>Kunststoffe</c:v>
                </c:pt>
                <c:pt idx="7">
                  <c:v>Holzprodukte</c:v>
                </c:pt>
                <c:pt idx="8">
                  <c:v>Baumaschinen 
und Geräte</c:v>
                </c:pt>
              </c:strCache>
            </c:strRef>
          </c:cat>
          <c:val>
            <c:numRef>
              <c:f>gesamt!$I$784:$I$792</c:f>
              <c:numCache>
                <c:formatCode>0.0%</c:formatCode>
                <c:ptCount val="9"/>
                <c:pt idx="0">
                  <c:v>0.13479181369089627</c:v>
                </c:pt>
                <c:pt idx="1">
                  <c:v>0.10928571428571429</c:v>
                </c:pt>
                <c:pt idx="2">
                  <c:v>0.10606060606060606</c:v>
                </c:pt>
                <c:pt idx="3">
                  <c:v>0.21227197346600332</c:v>
                </c:pt>
                <c:pt idx="4">
                  <c:v>0.11238532110091744</c:v>
                </c:pt>
                <c:pt idx="5">
                  <c:v>0.20809716599190284</c:v>
                </c:pt>
                <c:pt idx="6">
                  <c:v>8.0171796707229778E-2</c:v>
                </c:pt>
                <c:pt idx="7">
                  <c:v>0.13499245852187028</c:v>
                </c:pt>
                <c:pt idx="8">
                  <c:v>8.5182534001431637E-2</c:v>
                </c:pt>
              </c:numCache>
            </c:numRef>
          </c:val>
          <c:extLst>
            <c:ext xmlns:c16="http://schemas.microsoft.com/office/drawing/2014/chart" uri="{C3380CC4-5D6E-409C-BE32-E72D297353CC}">
              <c16:uniqueId val="{00000004-9951-46FD-84DE-EBBE9291E118}"/>
            </c:ext>
          </c:extLst>
        </c:ser>
        <c:dLbls>
          <c:showLegendKey val="0"/>
          <c:showVal val="0"/>
          <c:showCatName val="0"/>
          <c:showSerName val="0"/>
          <c:showPercent val="0"/>
          <c:showBubbleSize val="0"/>
        </c:dLbls>
        <c:gapWidth val="150"/>
        <c:overlap val="100"/>
        <c:axId val="634059560"/>
        <c:axId val="634066120"/>
        <c:extLst/>
      </c:barChart>
      <c:catAx>
        <c:axId val="634059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de-DE"/>
          </a:p>
        </c:txPr>
        <c:crossAx val="634066120"/>
        <c:crosses val="autoZero"/>
        <c:auto val="1"/>
        <c:lblAlgn val="ctr"/>
        <c:lblOffset val="100"/>
        <c:noMultiLvlLbl val="0"/>
      </c:catAx>
      <c:valAx>
        <c:axId val="634066120"/>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34059560"/>
        <c:crosses val="autoZero"/>
        <c:crossBetween val="between"/>
      </c:valAx>
      <c:spPr>
        <a:solidFill>
          <a:sysClr val="window" lastClr="FFFFFF"/>
        </a:solid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de-DE"/>
        </a:p>
      </c:txPr>
    </c:legend>
    <c:plotVisOnly val="1"/>
    <c:dispBlanksAs val="gap"/>
    <c:showDLblsOverMax val="0"/>
  </c:chart>
  <c:spPr>
    <a:solidFill>
      <a:srgbClr val="DBEEF4"/>
    </a:solidFill>
    <a:ln w="9525" cap="flat" cmpd="sng" algn="ctr">
      <a:solidFill>
        <a:schemeClr val="tx1">
          <a:lumMod val="15000"/>
          <a:lumOff val="85000"/>
        </a:schemeClr>
      </a:solidFill>
      <a:round/>
    </a:ln>
    <a:effectLst/>
  </c:spPr>
  <c:txPr>
    <a:bodyPr/>
    <a:lstStyle/>
    <a:p>
      <a:pPr>
        <a:defRPr sz="800">
          <a:solidFill>
            <a:sysClr val="windowText" lastClr="000000"/>
          </a:solidFill>
        </a:defRPr>
      </a:pPr>
      <a:endParaRPr lang="de-DE"/>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064645994180131E-2"/>
          <c:y val="8.9937066724203887E-2"/>
          <c:w val="0.90900488373268173"/>
          <c:h val="0.78058525738030982"/>
        </c:manualLayout>
      </c:layout>
      <c:barChart>
        <c:barDir val="col"/>
        <c:grouping val="clustered"/>
        <c:varyColors val="0"/>
        <c:ser>
          <c:idx val="0"/>
          <c:order val="0"/>
          <c:spPr>
            <a:solidFill>
              <a:srgbClr val="0197C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gesamt!$D$819:$D$821</c:f>
              <c:strCache>
                <c:ptCount val="3"/>
                <c:pt idx="0">
                  <c:v>erhöht</c:v>
                </c:pt>
                <c:pt idx="1">
                  <c:v>etwa gehalten</c:v>
                </c:pt>
                <c:pt idx="2">
                  <c:v>gesenkt</c:v>
                </c:pt>
              </c:strCache>
            </c:strRef>
          </c:cat>
          <c:val>
            <c:numRef>
              <c:f>gesamt!$E$819:$E$821</c:f>
              <c:numCache>
                <c:formatCode>0.0%</c:formatCode>
                <c:ptCount val="3"/>
                <c:pt idx="0">
                  <c:v>0.19091467157765502</c:v>
                </c:pt>
                <c:pt idx="1">
                  <c:v>0.61755678330263963</c:v>
                </c:pt>
                <c:pt idx="2">
                  <c:v>0.19152854511970535</c:v>
                </c:pt>
              </c:numCache>
            </c:numRef>
          </c:val>
          <c:extLst>
            <c:ext xmlns:c16="http://schemas.microsoft.com/office/drawing/2014/chart" uri="{C3380CC4-5D6E-409C-BE32-E72D297353CC}">
              <c16:uniqueId val="{00000000-CA1B-4946-81E8-F1B354011A48}"/>
            </c:ext>
          </c:extLst>
        </c:ser>
        <c:dLbls>
          <c:showLegendKey val="0"/>
          <c:showVal val="0"/>
          <c:showCatName val="0"/>
          <c:showSerName val="0"/>
          <c:showPercent val="0"/>
          <c:showBubbleSize val="0"/>
        </c:dLbls>
        <c:gapWidth val="219"/>
        <c:overlap val="-27"/>
        <c:axId val="634059560"/>
        <c:axId val="634066120"/>
      </c:barChart>
      <c:catAx>
        <c:axId val="634059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634066120"/>
        <c:crosses val="autoZero"/>
        <c:auto val="1"/>
        <c:lblAlgn val="ctr"/>
        <c:lblOffset val="100"/>
        <c:noMultiLvlLbl val="0"/>
      </c:catAx>
      <c:valAx>
        <c:axId val="6340661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634059560"/>
        <c:crosses val="autoZero"/>
        <c:crossBetween val="between"/>
      </c:valAx>
      <c:spPr>
        <a:solidFill>
          <a:sysClr val="window" lastClr="FFFFFF"/>
        </a:solidFill>
        <a:ln>
          <a:noFill/>
        </a:ln>
        <a:effectLst/>
      </c:spPr>
    </c:plotArea>
    <c:plotVisOnly val="1"/>
    <c:dispBlanksAs val="gap"/>
    <c:showDLblsOverMax val="0"/>
  </c:chart>
  <c:spPr>
    <a:solidFill>
      <a:srgbClr val="DBEEF4"/>
    </a:solidFill>
    <a:ln w="9525" cap="flat" cmpd="sng" algn="ctr">
      <a:solidFill>
        <a:schemeClr val="tx1">
          <a:lumMod val="15000"/>
          <a:lumOff val="85000"/>
        </a:schemeClr>
      </a:solidFill>
      <a:round/>
    </a:ln>
    <a:effectLst/>
  </c:spPr>
  <c:txPr>
    <a:bodyPr/>
    <a:lstStyle/>
    <a:p>
      <a:pPr>
        <a:defRPr sz="700">
          <a:solidFill>
            <a:sysClr val="windowText" lastClr="000000"/>
          </a:solidFill>
        </a:defRPr>
      </a:pPr>
      <a:endParaRPr lang="de-DE"/>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197C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gesamt!$D$847:$D$849</c:f>
              <c:strCache>
                <c:ptCount val="3"/>
                <c:pt idx="0">
                  <c:v>erhöhen</c:v>
                </c:pt>
                <c:pt idx="1">
                  <c:v>etwa halten</c:v>
                </c:pt>
                <c:pt idx="2">
                  <c:v>senken</c:v>
                </c:pt>
              </c:strCache>
            </c:strRef>
          </c:cat>
          <c:val>
            <c:numRef>
              <c:f>gesamt!$E$847:$E$849</c:f>
              <c:numCache>
                <c:formatCode>0.0%</c:formatCode>
                <c:ptCount val="3"/>
                <c:pt idx="0">
                  <c:v>0.31900000000000001</c:v>
                </c:pt>
                <c:pt idx="1">
                  <c:v>0.55200000000000005</c:v>
                </c:pt>
                <c:pt idx="2">
                  <c:v>0.129</c:v>
                </c:pt>
              </c:numCache>
            </c:numRef>
          </c:val>
          <c:extLst>
            <c:ext xmlns:c16="http://schemas.microsoft.com/office/drawing/2014/chart" uri="{C3380CC4-5D6E-409C-BE32-E72D297353CC}">
              <c16:uniqueId val="{00000000-395A-4F12-8701-0007C7860969}"/>
            </c:ext>
          </c:extLst>
        </c:ser>
        <c:dLbls>
          <c:showLegendKey val="0"/>
          <c:showVal val="0"/>
          <c:showCatName val="0"/>
          <c:showSerName val="0"/>
          <c:showPercent val="0"/>
          <c:showBubbleSize val="0"/>
        </c:dLbls>
        <c:gapWidth val="219"/>
        <c:overlap val="-27"/>
        <c:axId val="634059560"/>
        <c:axId val="634066120"/>
      </c:barChart>
      <c:catAx>
        <c:axId val="634059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634066120"/>
        <c:crosses val="autoZero"/>
        <c:auto val="1"/>
        <c:lblAlgn val="ctr"/>
        <c:lblOffset val="100"/>
        <c:noMultiLvlLbl val="0"/>
      </c:catAx>
      <c:valAx>
        <c:axId val="634066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634059560"/>
        <c:crosses val="autoZero"/>
        <c:crossBetween val="between"/>
      </c:valAx>
      <c:spPr>
        <a:solidFill>
          <a:sysClr val="window" lastClr="FFFFFF"/>
        </a:solidFill>
        <a:ln>
          <a:noFill/>
        </a:ln>
        <a:effectLst/>
      </c:spPr>
    </c:plotArea>
    <c:plotVisOnly val="1"/>
    <c:dispBlanksAs val="gap"/>
    <c:showDLblsOverMax val="0"/>
  </c:chart>
  <c:spPr>
    <a:solidFill>
      <a:srgbClr val="DBEEF4"/>
    </a:solidFill>
    <a:ln w="9525" cap="flat" cmpd="sng" algn="ctr">
      <a:solidFill>
        <a:schemeClr val="tx1">
          <a:lumMod val="15000"/>
          <a:lumOff val="85000"/>
        </a:schemeClr>
      </a:solidFill>
      <a:round/>
    </a:ln>
    <a:effectLst/>
  </c:spPr>
  <c:txPr>
    <a:bodyPr/>
    <a:lstStyle/>
    <a:p>
      <a:pPr>
        <a:defRPr sz="700">
          <a:solidFill>
            <a:sysClr val="windowText" lastClr="000000"/>
          </a:solidFill>
        </a:defRPr>
      </a:pPr>
      <a:endParaRPr lang="de-DE"/>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197C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gesamt!$D$878:$D$888</c:f>
              <c:strCache>
                <c:ptCount val="11"/>
                <c:pt idx="0">
                  <c:v>fehlende Subunternehmerkapazitäten</c:v>
                </c:pt>
                <c:pt idx="1">
                  <c:v>Arbeitskräftemangel Bauingenieure</c:v>
                </c:pt>
                <c:pt idx="2">
                  <c:v>Lieferschwierigkeiten Material</c:v>
                </c:pt>
                <c:pt idx="3">
                  <c:v>Arbeitskräftemangel Auszubildende</c:v>
                </c:pt>
                <c:pt idx="4">
                  <c:v>Zahlungsverzögerung Auftraggeber</c:v>
                </c:pt>
                <c:pt idx="5">
                  <c:v>Finanzierungsschw. Bauherren Banken</c:v>
                </c:pt>
                <c:pt idx="6">
                  <c:v>hoher Krankenstand</c:v>
                </c:pt>
                <c:pt idx="7">
                  <c:v>Finanzierungsschw .Bauherren abgeschaffte Förderprogramme</c:v>
                </c:pt>
                <c:pt idx="8">
                  <c:v>Verzögerung bei Genehmigungsverfahren</c:v>
                </c:pt>
                <c:pt idx="9">
                  <c:v>Arbeitskräftemangel Facharbeiter /
 Hilfsarbeiter</c:v>
                </c:pt>
                <c:pt idx="10">
                  <c:v>fehlende Aufträge</c:v>
                </c:pt>
              </c:strCache>
            </c:strRef>
          </c:cat>
          <c:val>
            <c:numRef>
              <c:f>gesamt!$E$878:$E$888</c:f>
              <c:numCache>
                <c:formatCode>0.0%</c:formatCode>
                <c:ptCount val="11"/>
                <c:pt idx="0">
                  <c:v>6.178343949044586E-2</c:v>
                </c:pt>
                <c:pt idx="1">
                  <c:v>6.5605095541401273E-2</c:v>
                </c:pt>
                <c:pt idx="2">
                  <c:v>7.1974522292993628E-2</c:v>
                </c:pt>
                <c:pt idx="3">
                  <c:v>0.13200000000000001</c:v>
                </c:pt>
                <c:pt idx="4">
                  <c:v>0.16687898089171974</c:v>
                </c:pt>
                <c:pt idx="5">
                  <c:v>0.37324840764331207</c:v>
                </c:pt>
                <c:pt idx="6">
                  <c:v>0.374</c:v>
                </c:pt>
                <c:pt idx="7">
                  <c:v>0.41974522292993632</c:v>
                </c:pt>
                <c:pt idx="8">
                  <c:v>0.42866242038216562</c:v>
                </c:pt>
                <c:pt idx="9">
                  <c:v>0.48299999999999998</c:v>
                </c:pt>
                <c:pt idx="10">
                  <c:v>0.61719745222929934</c:v>
                </c:pt>
              </c:numCache>
            </c:numRef>
          </c:val>
          <c:extLst>
            <c:ext xmlns:c16="http://schemas.microsoft.com/office/drawing/2014/chart" uri="{C3380CC4-5D6E-409C-BE32-E72D297353CC}">
              <c16:uniqueId val="{00000000-0C08-49B0-A870-6A667A307248}"/>
            </c:ext>
          </c:extLst>
        </c:ser>
        <c:dLbls>
          <c:showLegendKey val="0"/>
          <c:showVal val="0"/>
          <c:showCatName val="0"/>
          <c:showSerName val="0"/>
          <c:showPercent val="0"/>
          <c:showBubbleSize val="0"/>
        </c:dLbls>
        <c:gapWidth val="219"/>
        <c:axId val="634059560"/>
        <c:axId val="634066120"/>
      </c:barChart>
      <c:catAx>
        <c:axId val="634059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634066120"/>
        <c:crosses val="autoZero"/>
        <c:auto val="1"/>
        <c:lblAlgn val="ctr"/>
        <c:lblOffset val="100"/>
        <c:noMultiLvlLbl val="0"/>
      </c:catAx>
      <c:valAx>
        <c:axId val="6340661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634059560"/>
        <c:crosses val="autoZero"/>
        <c:crossBetween val="between"/>
      </c:valAx>
      <c:spPr>
        <a:solidFill>
          <a:sysClr val="window" lastClr="FFFFFF"/>
        </a:solidFill>
        <a:ln>
          <a:noFill/>
        </a:ln>
        <a:effectLst/>
      </c:spPr>
    </c:plotArea>
    <c:plotVisOnly val="1"/>
    <c:dispBlanksAs val="gap"/>
    <c:showDLblsOverMax val="0"/>
  </c:chart>
  <c:spPr>
    <a:solidFill>
      <a:srgbClr val="DBEEF4"/>
    </a:solidFill>
    <a:ln w="9525" cap="flat" cmpd="sng" algn="ctr">
      <a:solidFill>
        <a:schemeClr val="tx1">
          <a:lumMod val="15000"/>
          <a:lumOff val="85000"/>
        </a:schemeClr>
      </a:solidFill>
      <a:round/>
    </a:ln>
    <a:effectLst/>
  </c:spPr>
  <c:txPr>
    <a:bodyPr/>
    <a:lstStyle/>
    <a:p>
      <a:pPr>
        <a:defRPr sz="700">
          <a:solidFill>
            <a:sysClr val="windowText" lastClr="000000"/>
          </a:solidFill>
        </a:defRPr>
      </a:pPr>
      <a:endParaRPr lang="de-DE"/>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gesamt!$D$899</c:f>
              <c:strCache>
                <c:ptCount val="1"/>
                <c:pt idx="0">
                  <c:v>Arbeitskräftemangel Facharbeiter /
 Hilfsarbeiter</c:v>
                </c:pt>
              </c:strCache>
            </c:strRef>
          </c:tx>
          <c:spPr>
            <a:solidFill>
              <a:srgbClr val="0197C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gesamt!$E$898:$G$898</c:f>
              <c:strCache>
                <c:ptCount val="3"/>
                <c:pt idx="0">
                  <c:v>Herbst 2023</c:v>
                </c:pt>
                <c:pt idx="1">
                  <c:v>Frühjahr 2024</c:v>
                </c:pt>
                <c:pt idx="2">
                  <c:v>Herbst 2024</c:v>
                </c:pt>
              </c:strCache>
            </c:strRef>
          </c:cat>
          <c:val>
            <c:numRef>
              <c:f>gesamt!$E$899:$G$899</c:f>
              <c:numCache>
                <c:formatCode>0.0%</c:formatCode>
                <c:ptCount val="3"/>
                <c:pt idx="0">
                  <c:v>0.51100000000000001</c:v>
                </c:pt>
                <c:pt idx="1">
                  <c:v>0.48599999999999999</c:v>
                </c:pt>
                <c:pt idx="2">
                  <c:v>0.48299999999999998</c:v>
                </c:pt>
              </c:numCache>
            </c:numRef>
          </c:val>
          <c:extLst>
            <c:ext xmlns:c16="http://schemas.microsoft.com/office/drawing/2014/chart" uri="{C3380CC4-5D6E-409C-BE32-E72D297353CC}">
              <c16:uniqueId val="{00000000-446F-4DA0-8D3D-CF99DD9A484C}"/>
            </c:ext>
          </c:extLst>
        </c:ser>
        <c:ser>
          <c:idx val="1"/>
          <c:order val="1"/>
          <c:tx>
            <c:strRef>
              <c:f>gesamt!$D$900</c:f>
              <c:strCache>
                <c:ptCount val="1"/>
                <c:pt idx="0">
                  <c:v>fehlende Aufträge</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gesamt!$E$898:$G$898</c:f>
              <c:strCache>
                <c:ptCount val="3"/>
                <c:pt idx="0">
                  <c:v>Herbst 2023</c:v>
                </c:pt>
                <c:pt idx="1">
                  <c:v>Frühjahr 2024</c:v>
                </c:pt>
                <c:pt idx="2">
                  <c:v>Herbst 2024</c:v>
                </c:pt>
              </c:strCache>
            </c:strRef>
          </c:cat>
          <c:val>
            <c:numRef>
              <c:f>gesamt!$E$900:$G$900</c:f>
              <c:numCache>
                <c:formatCode>0.0%</c:formatCode>
                <c:ptCount val="3"/>
                <c:pt idx="0">
                  <c:v>0.59099999999999997</c:v>
                </c:pt>
                <c:pt idx="1">
                  <c:v>0.59499999999999997</c:v>
                </c:pt>
                <c:pt idx="2">
                  <c:v>0.61699999999999999</c:v>
                </c:pt>
              </c:numCache>
            </c:numRef>
          </c:val>
          <c:extLst>
            <c:ext xmlns:c16="http://schemas.microsoft.com/office/drawing/2014/chart" uri="{C3380CC4-5D6E-409C-BE32-E72D297353CC}">
              <c16:uniqueId val="{00000001-446F-4DA0-8D3D-CF99DD9A484C}"/>
            </c:ext>
          </c:extLst>
        </c:ser>
        <c:ser>
          <c:idx val="2"/>
          <c:order val="2"/>
          <c:tx>
            <c:strRef>
              <c:f>gesamt!$D$901</c:f>
              <c:strCache>
                <c:ptCount val="1"/>
                <c:pt idx="0">
                  <c:v>Lieferschwierigkeiten Material</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gesamt!$E$898:$G$898</c:f>
              <c:strCache>
                <c:ptCount val="3"/>
                <c:pt idx="0">
                  <c:v>Herbst 2023</c:v>
                </c:pt>
                <c:pt idx="1">
                  <c:v>Frühjahr 2024</c:v>
                </c:pt>
                <c:pt idx="2">
                  <c:v>Herbst 2024</c:v>
                </c:pt>
              </c:strCache>
            </c:strRef>
          </c:cat>
          <c:val>
            <c:numRef>
              <c:f>gesamt!$E$901:$G$901</c:f>
              <c:numCache>
                <c:formatCode>0.0%</c:formatCode>
                <c:ptCount val="3"/>
                <c:pt idx="0">
                  <c:v>0.14699999999999999</c:v>
                </c:pt>
                <c:pt idx="1">
                  <c:v>8.6999999999999994E-2</c:v>
                </c:pt>
                <c:pt idx="2">
                  <c:v>7.1999999999999995E-2</c:v>
                </c:pt>
              </c:numCache>
            </c:numRef>
          </c:val>
          <c:extLst>
            <c:ext xmlns:c16="http://schemas.microsoft.com/office/drawing/2014/chart" uri="{C3380CC4-5D6E-409C-BE32-E72D297353CC}">
              <c16:uniqueId val="{00000002-446F-4DA0-8D3D-CF99DD9A484C}"/>
            </c:ext>
          </c:extLst>
        </c:ser>
        <c:dLbls>
          <c:showLegendKey val="0"/>
          <c:showVal val="0"/>
          <c:showCatName val="0"/>
          <c:showSerName val="0"/>
          <c:showPercent val="0"/>
          <c:showBubbleSize val="0"/>
        </c:dLbls>
        <c:gapWidth val="219"/>
        <c:overlap val="-27"/>
        <c:axId val="631738280"/>
        <c:axId val="631739264"/>
      </c:barChart>
      <c:catAx>
        <c:axId val="631738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631739264"/>
        <c:crosses val="autoZero"/>
        <c:auto val="1"/>
        <c:lblAlgn val="ctr"/>
        <c:lblOffset val="100"/>
        <c:noMultiLvlLbl val="0"/>
      </c:catAx>
      <c:valAx>
        <c:axId val="6317392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631738280"/>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legend>
    <c:plotVisOnly val="1"/>
    <c:dispBlanksAs val="gap"/>
    <c:showDLblsOverMax val="0"/>
  </c:chart>
  <c:spPr>
    <a:solidFill>
      <a:srgbClr val="DBEEF4"/>
    </a:solidFill>
    <a:ln w="9525" cap="flat" cmpd="sng" algn="ctr">
      <a:solidFill>
        <a:schemeClr val="tx1">
          <a:lumMod val="15000"/>
          <a:lumOff val="85000"/>
        </a:schemeClr>
      </a:solidFill>
      <a:round/>
    </a:ln>
    <a:effectLst/>
  </c:spPr>
  <c:txPr>
    <a:bodyPr/>
    <a:lstStyle/>
    <a:p>
      <a:pPr>
        <a:defRPr sz="700">
          <a:solidFill>
            <a:sysClr val="windowText" lastClr="000000"/>
          </a:solidFill>
        </a:defRPr>
      </a:pPr>
      <a:endParaRPr lang="de-D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gesamt!$H$8:$H$13</c:f>
              <c:strCache>
                <c:ptCount val="6"/>
                <c:pt idx="0">
                  <c:v>18,6%</c:v>
                </c:pt>
                <c:pt idx="1">
                  <c:v>26,7%</c:v>
                </c:pt>
                <c:pt idx="2">
                  <c:v>23,8%</c:v>
                </c:pt>
                <c:pt idx="3">
                  <c:v>21,2%</c:v>
                </c:pt>
                <c:pt idx="4">
                  <c:v>5,8%</c:v>
                </c:pt>
                <c:pt idx="5">
                  <c:v>3,9%</c:v>
                </c:pt>
              </c:strCache>
            </c:strRef>
          </c:tx>
          <c:spPr>
            <a:solidFill>
              <a:srgbClr val="0197C6"/>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gesamt!$D$8:$D$13</c:f>
              <c:strCache>
                <c:ptCount val="6"/>
                <c:pt idx="0">
                  <c:v>1 -4 Beschäftigte</c:v>
                </c:pt>
                <c:pt idx="1">
                  <c:v>5 - 9 Beschäftigte</c:v>
                </c:pt>
                <c:pt idx="2">
                  <c:v>10 - 19 Beschäftigte</c:v>
                </c:pt>
                <c:pt idx="3">
                  <c:v>20 - 49 Beschäftigte</c:v>
                </c:pt>
                <c:pt idx="4">
                  <c:v>50 - 99 Beschäftigte</c:v>
                </c:pt>
                <c:pt idx="5">
                  <c:v>mehr als 100 Beschäftigte</c:v>
                </c:pt>
              </c:strCache>
            </c:strRef>
          </c:cat>
          <c:val>
            <c:numRef>
              <c:f>gesamt!$H$8:$H$13</c:f>
              <c:numCache>
                <c:formatCode>0.0%</c:formatCode>
                <c:ptCount val="6"/>
                <c:pt idx="0">
                  <c:v>0.18635809987819732</c:v>
                </c:pt>
                <c:pt idx="1">
                  <c:v>0.26674786845310594</c:v>
                </c:pt>
                <c:pt idx="2">
                  <c:v>0.23751522533495736</c:v>
                </c:pt>
                <c:pt idx="3">
                  <c:v>0.21193666260657734</c:v>
                </c:pt>
                <c:pt idx="4">
                  <c:v>5.8465286236297195E-2</c:v>
                </c:pt>
                <c:pt idx="5">
                  <c:v>3.8976857490864797E-2</c:v>
                </c:pt>
              </c:numCache>
            </c:numRef>
          </c:val>
          <c:extLst>
            <c:ext xmlns:c16="http://schemas.microsoft.com/office/drawing/2014/chart" uri="{C3380CC4-5D6E-409C-BE32-E72D297353CC}">
              <c16:uniqueId val="{00000000-BA25-45EC-8672-0DBB16CEA2D7}"/>
            </c:ext>
          </c:extLst>
        </c:ser>
        <c:dLbls>
          <c:showLegendKey val="0"/>
          <c:showVal val="0"/>
          <c:showCatName val="0"/>
          <c:showSerName val="0"/>
          <c:showPercent val="0"/>
          <c:showBubbleSize val="0"/>
        </c:dLbls>
        <c:gapWidth val="219"/>
        <c:overlap val="-27"/>
        <c:axId val="634059560"/>
        <c:axId val="634066120"/>
      </c:barChart>
      <c:catAx>
        <c:axId val="634059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crossAx val="634066120"/>
        <c:crosses val="autoZero"/>
        <c:auto val="1"/>
        <c:lblAlgn val="ctr"/>
        <c:lblOffset val="100"/>
        <c:noMultiLvlLbl val="0"/>
      </c:catAx>
      <c:valAx>
        <c:axId val="634066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crossAx val="634059560"/>
        <c:crosses val="autoZero"/>
        <c:crossBetween val="between"/>
      </c:valAx>
      <c:spPr>
        <a:solidFill>
          <a:sysClr val="window" lastClr="FFFFFF"/>
        </a:solidFill>
        <a:ln>
          <a:noFill/>
        </a:ln>
        <a:effectLst/>
      </c:spPr>
    </c:plotArea>
    <c:plotVisOnly val="1"/>
    <c:dispBlanksAs val="gap"/>
    <c:showDLblsOverMax val="0"/>
  </c:chart>
  <c:spPr>
    <a:solidFill>
      <a:srgbClr val="DBEEF4"/>
    </a:solidFill>
    <a:ln w="9525" cap="flat" cmpd="sng" algn="ctr">
      <a:solidFill>
        <a:schemeClr val="tx1">
          <a:lumMod val="15000"/>
          <a:lumOff val="85000"/>
        </a:schemeClr>
      </a:solidFill>
      <a:round/>
    </a:ln>
    <a:effectLst/>
  </c:spPr>
  <c:txPr>
    <a:bodyPr/>
    <a:lstStyle/>
    <a:p>
      <a:pPr>
        <a:defRPr sz="800">
          <a:solidFill>
            <a:schemeClr val="tx1">
              <a:lumMod val="65000"/>
              <a:lumOff val="35000"/>
            </a:schemeClr>
          </a:solidFill>
        </a:defRPr>
      </a:pPr>
      <a:endParaRPr lang="de-D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gesamt!$E$52</c:f>
              <c:strCache>
                <c:ptCount val="1"/>
                <c:pt idx="0">
                  <c:v>gut</c:v>
                </c:pt>
              </c:strCache>
            </c:strRef>
          </c:tx>
          <c:spPr>
            <a:solidFill>
              <a:srgbClr val="0197C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gesamt!$D$53:$D$59</c:f>
              <c:strCache>
                <c:ptCount val="7"/>
                <c:pt idx="0">
                  <c:v>im Ausbau</c:v>
                </c:pt>
                <c:pt idx="1">
                  <c:v>Sonstiger Tiefbau</c:v>
                </c:pt>
                <c:pt idx="2">
                  <c:v>Straßenbau</c:v>
                </c:pt>
                <c:pt idx="3">
                  <c:v>öffentlicher Hochbau</c:v>
                </c:pt>
                <c:pt idx="4">
                  <c:v>Wirtschaftsbau</c:v>
                </c:pt>
                <c:pt idx="5">
                  <c:v>Wohnungsbau</c:v>
                </c:pt>
                <c:pt idx="6">
                  <c:v>Insgesamt</c:v>
                </c:pt>
              </c:strCache>
            </c:strRef>
          </c:cat>
          <c:val>
            <c:numRef>
              <c:f>gesamt!$E$53:$E$59</c:f>
              <c:numCache>
                <c:formatCode>0.0%</c:formatCode>
                <c:ptCount val="7"/>
                <c:pt idx="0">
                  <c:v>0.22965879265091863</c:v>
                </c:pt>
                <c:pt idx="1">
                  <c:v>0.18359375</c:v>
                </c:pt>
                <c:pt idx="2">
                  <c:v>0.12032085561497326</c:v>
                </c:pt>
                <c:pt idx="3">
                  <c:v>6.5331928345626969E-2</c:v>
                </c:pt>
                <c:pt idx="4">
                  <c:v>8.1159420289855067E-2</c:v>
                </c:pt>
                <c:pt idx="5">
                  <c:v>0.12301013024602026</c:v>
                </c:pt>
                <c:pt idx="6">
                  <c:v>0.12564818508177103</c:v>
                </c:pt>
              </c:numCache>
            </c:numRef>
          </c:val>
          <c:extLst>
            <c:ext xmlns:c16="http://schemas.microsoft.com/office/drawing/2014/chart" uri="{C3380CC4-5D6E-409C-BE32-E72D297353CC}">
              <c16:uniqueId val="{00000000-EF5D-4FEA-86A2-C16F4F6CF3D0}"/>
            </c:ext>
          </c:extLst>
        </c:ser>
        <c:ser>
          <c:idx val="1"/>
          <c:order val="1"/>
          <c:tx>
            <c:strRef>
              <c:f>gesamt!$F$52</c:f>
              <c:strCache>
                <c:ptCount val="1"/>
                <c:pt idx="0">
                  <c:v>befriedigend</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gesamt!$D$53:$D$59</c:f>
              <c:strCache>
                <c:ptCount val="7"/>
                <c:pt idx="0">
                  <c:v>im Ausbau</c:v>
                </c:pt>
                <c:pt idx="1">
                  <c:v>Sonstiger Tiefbau</c:v>
                </c:pt>
                <c:pt idx="2">
                  <c:v>Straßenbau</c:v>
                </c:pt>
                <c:pt idx="3">
                  <c:v>öffentlicher Hochbau</c:v>
                </c:pt>
                <c:pt idx="4">
                  <c:v>Wirtschaftsbau</c:v>
                </c:pt>
                <c:pt idx="5">
                  <c:v>Wohnungsbau</c:v>
                </c:pt>
                <c:pt idx="6">
                  <c:v>Insgesamt</c:v>
                </c:pt>
              </c:strCache>
            </c:strRef>
          </c:cat>
          <c:val>
            <c:numRef>
              <c:f>gesamt!$F$53:$F$59</c:f>
              <c:numCache>
                <c:formatCode>0.0%</c:formatCode>
                <c:ptCount val="7"/>
                <c:pt idx="0">
                  <c:v>0.5</c:v>
                </c:pt>
                <c:pt idx="1">
                  <c:v>0.4921875</c:v>
                </c:pt>
                <c:pt idx="2">
                  <c:v>0.42780748663101603</c:v>
                </c:pt>
                <c:pt idx="3">
                  <c:v>0.2897787144362487</c:v>
                </c:pt>
                <c:pt idx="4">
                  <c:v>0.39130434782608697</c:v>
                </c:pt>
                <c:pt idx="5">
                  <c:v>0.29088277858176553</c:v>
                </c:pt>
                <c:pt idx="6">
                  <c:v>0.37395293179098527</c:v>
                </c:pt>
              </c:numCache>
            </c:numRef>
          </c:val>
          <c:extLst>
            <c:ext xmlns:c16="http://schemas.microsoft.com/office/drawing/2014/chart" uri="{C3380CC4-5D6E-409C-BE32-E72D297353CC}">
              <c16:uniqueId val="{00000001-EF5D-4FEA-86A2-C16F4F6CF3D0}"/>
            </c:ext>
          </c:extLst>
        </c:ser>
        <c:ser>
          <c:idx val="2"/>
          <c:order val="2"/>
          <c:tx>
            <c:strRef>
              <c:f>gesamt!$G$52</c:f>
              <c:strCache>
                <c:ptCount val="1"/>
                <c:pt idx="0">
                  <c:v>schlecht</c:v>
                </c:pt>
              </c:strCache>
            </c:strRef>
          </c:tx>
          <c:spPr>
            <a:solidFill>
              <a:schemeClr val="bg1">
                <a:lumMod val="50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gesamt!$D$53:$D$59</c:f>
              <c:strCache>
                <c:ptCount val="7"/>
                <c:pt idx="0">
                  <c:v>im Ausbau</c:v>
                </c:pt>
                <c:pt idx="1">
                  <c:v>Sonstiger Tiefbau</c:v>
                </c:pt>
                <c:pt idx="2">
                  <c:v>Straßenbau</c:v>
                </c:pt>
                <c:pt idx="3">
                  <c:v>öffentlicher Hochbau</c:v>
                </c:pt>
                <c:pt idx="4">
                  <c:v>Wirtschaftsbau</c:v>
                </c:pt>
                <c:pt idx="5">
                  <c:v>Wohnungsbau</c:v>
                </c:pt>
                <c:pt idx="6">
                  <c:v>Insgesamt</c:v>
                </c:pt>
              </c:strCache>
            </c:strRef>
          </c:cat>
          <c:val>
            <c:numRef>
              <c:f>gesamt!$G$53:$G$59</c:f>
              <c:numCache>
                <c:formatCode>0.0%</c:formatCode>
                <c:ptCount val="7"/>
                <c:pt idx="0">
                  <c:v>0.27034120734908135</c:v>
                </c:pt>
                <c:pt idx="1">
                  <c:v>0.32421875</c:v>
                </c:pt>
                <c:pt idx="2">
                  <c:v>0.45187165775401067</c:v>
                </c:pt>
                <c:pt idx="3">
                  <c:v>0.64488935721812435</c:v>
                </c:pt>
                <c:pt idx="4">
                  <c:v>0.52753623188405796</c:v>
                </c:pt>
                <c:pt idx="5">
                  <c:v>0.58610709117221416</c:v>
                </c:pt>
                <c:pt idx="6">
                  <c:v>0.50039888312724368</c:v>
                </c:pt>
              </c:numCache>
            </c:numRef>
          </c:val>
          <c:extLst>
            <c:ext xmlns:c16="http://schemas.microsoft.com/office/drawing/2014/chart" uri="{C3380CC4-5D6E-409C-BE32-E72D297353CC}">
              <c16:uniqueId val="{00000002-EF5D-4FEA-86A2-C16F4F6CF3D0}"/>
            </c:ext>
          </c:extLst>
        </c:ser>
        <c:dLbls>
          <c:showLegendKey val="0"/>
          <c:showVal val="0"/>
          <c:showCatName val="0"/>
          <c:showSerName val="0"/>
          <c:showPercent val="0"/>
          <c:showBubbleSize val="0"/>
        </c:dLbls>
        <c:gapWidth val="150"/>
        <c:overlap val="100"/>
        <c:axId val="634059560"/>
        <c:axId val="634066120"/>
      </c:barChart>
      <c:catAx>
        <c:axId val="634059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crossAx val="634066120"/>
        <c:crosses val="autoZero"/>
        <c:auto val="1"/>
        <c:lblAlgn val="ctr"/>
        <c:lblOffset val="100"/>
        <c:noMultiLvlLbl val="0"/>
      </c:catAx>
      <c:valAx>
        <c:axId val="6340661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crossAx val="634059560"/>
        <c:crosses val="autoZero"/>
        <c:crossBetween val="between"/>
      </c:valAx>
      <c:spPr>
        <a:solidFill>
          <a:schemeClr val="bg1"/>
        </a:solidFill>
        <a:ln w="25400">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rgbClr val="DBEEF4"/>
    </a:solidFill>
    <a:ln w="9525" cap="flat" cmpd="sng" algn="ctr">
      <a:solidFill>
        <a:schemeClr val="tx1">
          <a:lumMod val="15000"/>
          <a:lumOff val="85000"/>
        </a:schemeClr>
      </a:solidFill>
      <a:round/>
    </a:ln>
    <a:effectLst/>
  </c:spPr>
  <c:txPr>
    <a:bodyPr/>
    <a:lstStyle/>
    <a:p>
      <a:pPr>
        <a:defRPr sz="800">
          <a:solidFill>
            <a:schemeClr val="tx1">
              <a:lumMod val="65000"/>
              <a:lumOff val="35000"/>
            </a:schemeClr>
          </a:solidFill>
        </a:defRPr>
      </a:pPr>
      <a:endParaRPr lang="de-D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67315006086074"/>
          <c:y val="8.6240689925519406E-2"/>
          <c:w val="0.71704782492310337"/>
          <c:h val="0.72983575994592209"/>
        </c:manualLayout>
      </c:layout>
      <c:barChart>
        <c:barDir val="bar"/>
        <c:grouping val="stacked"/>
        <c:varyColors val="0"/>
        <c:ser>
          <c:idx val="0"/>
          <c:order val="0"/>
          <c:tx>
            <c:strRef>
              <c:f>gesamt!$E$65</c:f>
              <c:strCache>
                <c:ptCount val="1"/>
                <c:pt idx="0">
                  <c:v>gut</c:v>
                </c:pt>
              </c:strCache>
            </c:strRef>
          </c:tx>
          <c:spPr>
            <a:solidFill>
              <a:srgbClr val="0197C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gesamt!$D$66:$D$68</c:f>
              <c:strCache>
                <c:ptCount val="3"/>
                <c:pt idx="0">
                  <c:v>Herbstumfrage 2023</c:v>
                </c:pt>
                <c:pt idx="1">
                  <c:v>Frühjahrsumfage 2024</c:v>
                </c:pt>
                <c:pt idx="2">
                  <c:v>Herbstumfrage 2024</c:v>
                </c:pt>
              </c:strCache>
            </c:strRef>
          </c:cat>
          <c:val>
            <c:numRef>
              <c:f>gesamt!$E$66:$E$68</c:f>
              <c:numCache>
                <c:formatCode>0.0%</c:formatCode>
                <c:ptCount val="3"/>
                <c:pt idx="0">
                  <c:v>0.152</c:v>
                </c:pt>
                <c:pt idx="1">
                  <c:v>0.1414</c:v>
                </c:pt>
                <c:pt idx="2">
                  <c:v>0.12564818508177103</c:v>
                </c:pt>
              </c:numCache>
            </c:numRef>
          </c:val>
          <c:extLst>
            <c:ext xmlns:c16="http://schemas.microsoft.com/office/drawing/2014/chart" uri="{C3380CC4-5D6E-409C-BE32-E72D297353CC}">
              <c16:uniqueId val="{00000000-AB32-46E4-9234-FF9DC7B534C5}"/>
            </c:ext>
          </c:extLst>
        </c:ser>
        <c:ser>
          <c:idx val="1"/>
          <c:order val="1"/>
          <c:tx>
            <c:strRef>
              <c:f>gesamt!$F$65</c:f>
              <c:strCache>
                <c:ptCount val="1"/>
                <c:pt idx="0">
                  <c:v>befriedigend</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gesamt!$D$66:$D$68</c:f>
              <c:strCache>
                <c:ptCount val="3"/>
                <c:pt idx="0">
                  <c:v>Herbstumfrage 2023</c:v>
                </c:pt>
                <c:pt idx="1">
                  <c:v>Frühjahrsumfage 2024</c:v>
                </c:pt>
                <c:pt idx="2">
                  <c:v>Herbstumfrage 2024</c:v>
                </c:pt>
              </c:strCache>
            </c:strRef>
          </c:cat>
          <c:val>
            <c:numRef>
              <c:f>gesamt!$F$66:$F$68</c:f>
              <c:numCache>
                <c:formatCode>0.0%</c:formatCode>
                <c:ptCount val="3"/>
                <c:pt idx="0">
                  <c:v>0.39100000000000001</c:v>
                </c:pt>
                <c:pt idx="1">
                  <c:v>0.37330000000000002</c:v>
                </c:pt>
                <c:pt idx="2">
                  <c:v>0.37395293179098527</c:v>
                </c:pt>
              </c:numCache>
            </c:numRef>
          </c:val>
          <c:extLst>
            <c:ext xmlns:c16="http://schemas.microsoft.com/office/drawing/2014/chart" uri="{C3380CC4-5D6E-409C-BE32-E72D297353CC}">
              <c16:uniqueId val="{00000001-AB32-46E4-9234-FF9DC7B534C5}"/>
            </c:ext>
          </c:extLst>
        </c:ser>
        <c:ser>
          <c:idx val="2"/>
          <c:order val="2"/>
          <c:tx>
            <c:strRef>
              <c:f>gesamt!$G$65</c:f>
              <c:strCache>
                <c:ptCount val="1"/>
                <c:pt idx="0">
                  <c:v>schlecht</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gesamt!$D$66:$D$68</c:f>
              <c:strCache>
                <c:ptCount val="3"/>
                <c:pt idx="0">
                  <c:v>Herbstumfrage 2023</c:v>
                </c:pt>
                <c:pt idx="1">
                  <c:v>Frühjahrsumfage 2024</c:v>
                </c:pt>
                <c:pt idx="2">
                  <c:v>Herbstumfrage 2024</c:v>
                </c:pt>
              </c:strCache>
            </c:strRef>
          </c:cat>
          <c:val>
            <c:numRef>
              <c:f>gesamt!$G$66:$G$68</c:f>
              <c:numCache>
                <c:formatCode>0.0%</c:formatCode>
                <c:ptCount val="3"/>
                <c:pt idx="0">
                  <c:v>0.45700000000000002</c:v>
                </c:pt>
                <c:pt idx="1">
                  <c:v>0.48530000000000001</c:v>
                </c:pt>
                <c:pt idx="2">
                  <c:v>0.50039888312724368</c:v>
                </c:pt>
              </c:numCache>
            </c:numRef>
          </c:val>
          <c:extLst>
            <c:ext xmlns:c16="http://schemas.microsoft.com/office/drawing/2014/chart" uri="{C3380CC4-5D6E-409C-BE32-E72D297353CC}">
              <c16:uniqueId val="{00000002-AB32-46E4-9234-FF9DC7B534C5}"/>
            </c:ext>
          </c:extLst>
        </c:ser>
        <c:dLbls>
          <c:showLegendKey val="0"/>
          <c:showVal val="0"/>
          <c:showCatName val="0"/>
          <c:showSerName val="0"/>
          <c:showPercent val="0"/>
          <c:showBubbleSize val="0"/>
        </c:dLbls>
        <c:gapWidth val="150"/>
        <c:overlap val="100"/>
        <c:axId val="631422336"/>
        <c:axId val="631413808"/>
      </c:barChart>
      <c:catAx>
        <c:axId val="6314223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631413808"/>
        <c:crosses val="autoZero"/>
        <c:auto val="1"/>
        <c:lblAlgn val="ctr"/>
        <c:lblOffset val="100"/>
        <c:noMultiLvlLbl val="0"/>
      </c:catAx>
      <c:valAx>
        <c:axId val="631413808"/>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one"/>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631422336"/>
        <c:crosses val="autoZero"/>
        <c:crossBetween val="between"/>
      </c:valAx>
      <c:spPr>
        <a:solidFill>
          <a:sysClr val="window" lastClr="FFFFFF"/>
        </a:solid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legend>
    <c:plotVisOnly val="1"/>
    <c:dispBlanksAs val="gap"/>
    <c:showDLblsOverMax val="0"/>
  </c:chart>
  <c:spPr>
    <a:solidFill>
      <a:srgbClr val="DBEEF4"/>
    </a:solidFill>
    <a:ln w="9525" cap="flat" cmpd="sng" algn="ctr">
      <a:solidFill>
        <a:schemeClr val="tx1">
          <a:lumMod val="15000"/>
          <a:lumOff val="85000"/>
        </a:schemeClr>
      </a:solidFill>
      <a:round/>
    </a:ln>
    <a:effectLst/>
  </c:spPr>
  <c:txPr>
    <a:bodyPr/>
    <a:lstStyle/>
    <a:p>
      <a:pPr>
        <a:defRPr sz="700">
          <a:solidFill>
            <a:sysClr val="windowText" lastClr="000000"/>
          </a:solidFill>
        </a:defRPr>
      </a:pPr>
      <a:endParaRPr lang="de-D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gesamt!$E$81</c:f>
              <c:strCache>
                <c:ptCount val="1"/>
                <c:pt idx="0">
                  <c:v>besser</c:v>
                </c:pt>
              </c:strCache>
            </c:strRef>
          </c:tx>
          <c:spPr>
            <a:solidFill>
              <a:srgbClr val="0197C6"/>
            </a:solidFill>
            <a:ln>
              <a:noFill/>
            </a:ln>
            <a:effectLst/>
          </c:spPr>
          <c:invertIfNegative val="0"/>
          <c:dLbls>
            <c:dLbl>
              <c:idx val="0"/>
              <c:layout>
                <c:manualLayout>
                  <c:x val="-6.0455647071547495E-3"/>
                  <c:y val="-4.408954077241045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71-40BC-BA3E-247A9B76C6A2}"/>
                </c:ext>
              </c:extLst>
            </c:dLbl>
            <c:dLbl>
              <c:idx val="1"/>
              <c:layout>
                <c:manualLayout>
                  <c:x val="1.2091129414309721E-3"/>
                  <c:y val="-4.544265470088646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71-40BC-BA3E-247A9B76C6A2}"/>
                </c:ext>
              </c:extLst>
            </c:dLbl>
            <c:dLbl>
              <c:idx val="2"/>
              <c:layout>
                <c:manualLayout>
                  <c:x val="2.3707918444760114E-3"/>
                  <c:y val="-4.677970534310788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671-40BC-BA3E-247A9B76C6A2}"/>
                </c:ext>
              </c:extLst>
            </c:dLbl>
            <c:dLbl>
              <c:idx val="3"/>
              <c:layout>
                <c:manualLayout>
                  <c:x val="4.7415836889521104E-3"/>
                  <c:y val="-4.288139656451563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671-40BC-BA3E-247A9B76C6A2}"/>
                </c:ext>
              </c:extLst>
            </c:dLbl>
            <c:dLbl>
              <c:idx val="4"/>
              <c:layout>
                <c:manualLayout>
                  <c:x val="3.6273388242928722E-3"/>
                  <c:y val="-5.19345792083201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671-40BC-BA3E-247A9B76C6A2}"/>
                </c:ext>
              </c:extLst>
            </c:dLbl>
            <c:dLbl>
              <c:idx val="5"/>
              <c:layout>
                <c:manualLayout>
                  <c:x val="-2.418225882861922E-3"/>
                  <c:y val="-4.8398430583887244E-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71-40BC-BA3E-247A9B76C6A2}"/>
                </c:ext>
              </c:extLst>
            </c:dLbl>
            <c:dLbl>
              <c:idx val="6"/>
              <c:layout>
                <c:manualLayout>
                  <c:x val="-7.1123755334281651E-3"/>
                  <c:y val="-3.898308778592329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671-40BC-BA3E-247A9B76C6A2}"/>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[2]gesamt!$C$62:$C$68</c:f>
              <c:strCache>
                <c:ptCount val="7"/>
                <c:pt idx="0">
                  <c:v>im Ausbau</c:v>
                </c:pt>
                <c:pt idx="1">
                  <c:v>Sonstiger Tiefbau</c:v>
                </c:pt>
                <c:pt idx="2">
                  <c:v>Straßenbau</c:v>
                </c:pt>
                <c:pt idx="3">
                  <c:v>öffentlicher Hochbau</c:v>
                </c:pt>
                <c:pt idx="4">
                  <c:v>Wirtschaftsbau</c:v>
                </c:pt>
                <c:pt idx="5">
                  <c:v>Wohnungsbau</c:v>
                </c:pt>
                <c:pt idx="6">
                  <c:v>Insgesamt</c:v>
                </c:pt>
              </c:strCache>
            </c:strRef>
          </c:cat>
          <c:val>
            <c:numRef>
              <c:f>gesamt!$E$82:$E$88</c:f>
              <c:numCache>
                <c:formatCode>0.0%</c:formatCode>
                <c:ptCount val="7"/>
                <c:pt idx="0">
                  <c:v>6.550802139037433E-2</c:v>
                </c:pt>
                <c:pt idx="1">
                  <c:v>3.6608863198458574E-2</c:v>
                </c:pt>
                <c:pt idx="2">
                  <c:v>3.6269430051813469E-2</c:v>
                </c:pt>
                <c:pt idx="3">
                  <c:v>3.1446540880503145E-2</c:v>
                </c:pt>
                <c:pt idx="4">
                  <c:v>3.9100684261974585E-2</c:v>
                </c:pt>
                <c:pt idx="5">
                  <c:v>7.1220930232558141E-2</c:v>
                </c:pt>
                <c:pt idx="6">
                  <c:v>4.9940071913703553E-2</c:v>
                </c:pt>
              </c:numCache>
            </c:numRef>
          </c:val>
          <c:extLst>
            <c:ext xmlns:c16="http://schemas.microsoft.com/office/drawing/2014/chart" uri="{C3380CC4-5D6E-409C-BE32-E72D297353CC}">
              <c16:uniqueId val="{00000007-D671-40BC-BA3E-247A9B76C6A2}"/>
            </c:ext>
          </c:extLst>
        </c:ser>
        <c:ser>
          <c:idx val="1"/>
          <c:order val="1"/>
          <c:tx>
            <c:strRef>
              <c:f>gesamt!$F$81</c:f>
              <c:strCache>
                <c:ptCount val="1"/>
                <c:pt idx="0">
                  <c:v>gleich</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[2]gesamt!$C$62:$C$68</c:f>
              <c:strCache>
                <c:ptCount val="7"/>
                <c:pt idx="0">
                  <c:v>im Ausbau</c:v>
                </c:pt>
                <c:pt idx="1">
                  <c:v>Sonstiger Tiefbau</c:v>
                </c:pt>
                <c:pt idx="2">
                  <c:v>Straßenbau</c:v>
                </c:pt>
                <c:pt idx="3">
                  <c:v>öffentlicher Hochbau</c:v>
                </c:pt>
                <c:pt idx="4">
                  <c:v>Wirtschaftsbau</c:v>
                </c:pt>
                <c:pt idx="5">
                  <c:v>Wohnungsbau</c:v>
                </c:pt>
                <c:pt idx="6">
                  <c:v>Insgesamt</c:v>
                </c:pt>
              </c:strCache>
            </c:strRef>
          </c:cat>
          <c:val>
            <c:numRef>
              <c:f>gesamt!$F$82:$F$88</c:f>
              <c:numCache>
                <c:formatCode>0.0%</c:formatCode>
                <c:ptCount val="7"/>
                <c:pt idx="0">
                  <c:v>0.59224598930481287</c:v>
                </c:pt>
                <c:pt idx="1">
                  <c:v>0.50867052023121384</c:v>
                </c:pt>
                <c:pt idx="2">
                  <c:v>0.43005181347150256</c:v>
                </c:pt>
                <c:pt idx="3">
                  <c:v>0.42662473794549266</c:v>
                </c:pt>
                <c:pt idx="4">
                  <c:v>0.47507331378299122</c:v>
                </c:pt>
                <c:pt idx="5">
                  <c:v>0.44113372093023256</c:v>
                </c:pt>
                <c:pt idx="6">
                  <c:v>0.47403116260487416</c:v>
                </c:pt>
              </c:numCache>
            </c:numRef>
          </c:val>
          <c:extLst>
            <c:ext xmlns:c16="http://schemas.microsoft.com/office/drawing/2014/chart" uri="{C3380CC4-5D6E-409C-BE32-E72D297353CC}">
              <c16:uniqueId val="{00000008-D671-40BC-BA3E-247A9B76C6A2}"/>
            </c:ext>
          </c:extLst>
        </c:ser>
        <c:ser>
          <c:idx val="2"/>
          <c:order val="2"/>
          <c:tx>
            <c:strRef>
              <c:f>gesamt!$G$81</c:f>
              <c:strCache>
                <c:ptCount val="1"/>
                <c:pt idx="0">
                  <c:v>schlechter</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[2]gesamt!$C$62:$C$68</c:f>
              <c:strCache>
                <c:ptCount val="7"/>
                <c:pt idx="0">
                  <c:v>im Ausbau</c:v>
                </c:pt>
                <c:pt idx="1">
                  <c:v>Sonstiger Tiefbau</c:v>
                </c:pt>
                <c:pt idx="2">
                  <c:v>Straßenbau</c:v>
                </c:pt>
                <c:pt idx="3">
                  <c:v>öffentlicher Hochbau</c:v>
                </c:pt>
                <c:pt idx="4">
                  <c:v>Wirtschaftsbau</c:v>
                </c:pt>
                <c:pt idx="5">
                  <c:v>Wohnungsbau</c:v>
                </c:pt>
                <c:pt idx="6">
                  <c:v>Insgesamt</c:v>
                </c:pt>
              </c:strCache>
            </c:strRef>
          </c:cat>
          <c:val>
            <c:numRef>
              <c:f>gesamt!$G$82:$G$88</c:f>
              <c:numCache>
                <c:formatCode>0.0%</c:formatCode>
                <c:ptCount val="7"/>
                <c:pt idx="0">
                  <c:v>0.34224598930481281</c:v>
                </c:pt>
                <c:pt idx="1">
                  <c:v>0.45472061657032753</c:v>
                </c:pt>
                <c:pt idx="2">
                  <c:v>0.53367875647668395</c:v>
                </c:pt>
                <c:pt idx="3">
                  <c:v>0.54192872117400415</c:v>
                </c:pt>
                <c:pt idx="4">
                  <c:v>0.48582600195503423</c:v>
                </c:pt>
                <c:pt idx="5">
                  <c:v>0.48764534883720928</c:v>
                </c:pt>
                <c:pt idx="6">
                  <c:v>0.47602876548142231</c:v>
                </c:pt>
              </c:numCache>
            </c:numRef>
          </c:val>
          <c:extLst>
            <c:ext xmlns:c16="http://schemas.microsoft.com/office/drawing/2014/chart" uri="{C3380CC4-5D6E-409C-BE32-E72D297353CC}">
              <c16:uniqueId val="{00000009-D671-40BC-BA3E-247A9B76C6A2}"/>
            </c:ext>
          </c:extLst>
        </c:ser>
        <c:dLbls>
          <c:showLegendKey val="0"/>
          <c:showVal val="0"/>
          <c:showCatName val="0"/>
          <c:showSerName val="0"/>
          <c:showPercent val="0"/>
          <c:showBubbleSize val="0"/>
        </c:dLbls>
        <c:gapWidth val="150"/>
        <c:overlap val="100"/>
        <c:axId val="634059560"/>
        <c:axId val="634066120"/>
      </c:barChart>
      <c:catAx>
        <c:axId val="634059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634066120"/>
        <c:crosses val="autoZero"/>
        <c:auto val="1"/>
        <c:lblAlgn val="ctr"/>
        <c:lblOffset val="100"/>
        <c:noMultiLvlLbl val="0"/>
      </c:catAx>
      <c:valAx>
        <c:axId val="6340661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634059560"/>
        <c:crosses val="autoZero"/>
        <c:crossBetween val="between"/>
      </c:valAx>
      <c:spPr>
        <a:solidFill>
          <a:sysClr val="window" lastClr="FFFFFF"/>
        </a:solid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legend>
    <c:plotVisOnly val="1"/>
    <c:dispBlanksAs val="gap"/>
    <c:showDLblsOverMax val="0"/>
  </c:chart>
  <c:spPr>
    <a:solidFill>
      <a:srgbClr val="DBEEF4"/>
    </a:solidFill>
    <a:ln w="9525" cap="flat" cmpd="sng" algn="ctr">
      <a:solidFill>
        <a:schemeClr val="tx1">
          <a:lumMod val="15000"/>
          <a:lumOff val="85000"/>
        </a:schemeClr>
      </a:solidFill>
      <a:round/>
    </a:ln>
    <a:effectLst/>
  </c:spPr>
  <c:txPr>
    <a:bodyPr/>
    <a:lstStyle/>
    <a:p>
      <a:pPr>
        <a:defRPr sz="700">
          <a:solidFill>
            <a:sysClr val="windowText" lastClr="000000"/>
          </a:solidFill>
        </a:defRPr>
      </a:pPr>
      <a:endParaRPr lang="de-D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67315006086074"/>
          <c:y val="0.10491177873152122"/>
          <c:w val="0.71704782492310337"/>
          <c:h val="0.69995756968147227"/>
        </c:manualLayout>
      </c:layout>
      <c:barChart>
        <c:barDir val="bar"/>
        <c:grouping val="stacked"/>
        <c:varyColors val="0"/>
        <c:ser>
          <c:idx val="0"/>
          <c:order val="0"/>
          <c:tx>
            <c:strRef>
              <c:f>gesamt!$E$103</c:f>
              <c:strCache>
                <c:ptCount val="1"/>
                <c:pt idx="0">
                  <c:v>besser</c:v>
                </c:pt>
              </c:strCache>
            </c:strRef>
          </c:tx>
          <c:spPr>
            <a:solidFill>
              <a:srgbClr val="0197C6"/>
            </a:solidFill>
            <a:ln>
              <a:noFill/>
            </a:ln>
            <a:effectLst/>
          </c:spPr>
          <c:invertIfNegative val="0"/>
          <c:dLbls>
            <c:dLbl>
              <c:idx val="0"/>
              <c:layout>
                <c:manualLayout>
                  <c:x val="-1.3025854605081835E-2"/>
                  <c:y val="8.80239396246607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03A-4B26-AC97-651AB5ED040D}"/>
                </c:ext>
              </c:extLst>
            </c:dLbl>
            <c:dLbl>
              <c:idx val="1"/>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extLst>
                <c:ext xmlns:c16="http://schemas.microsoft.com/office/drawing/2014/chart" uri="{C3380CC4-5D6E-409C-BE32-E72D297353CC}">
                  <c16:uniqueId val="{00000000-1E37-4F5F-904F-E6A1DCA20112}"/>
                </c:ext>
              </c:extLst>
            </c:dLbl>
            <c:dLbl>
              <c:idx val="2"/>
              <c:layout>
                <c:manualLayout>
                  <c:x val="3.3499349946130006E-3"/>
                  <c:y val="-2.2124487490092241E-3"/>
                </c:manualLayout>
              </c:layout>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03A-4B26-AC97-651AB5ED040D}"/>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gesamt!$D$104:$D$106</c:f>
              <c:strCache>
                <c:ptCount val="3"/>
                <c:pt idx="0">
                  <c:v>Herbstumfrage 2023</c:v>
                </c:pt>
                <c:pt idx="1">
                  <c:v>Frühjahrsumfage 2023</c:v>
                </c:pt>
                <c:pt idx="2">
                  <c:v>Herbstumfrage 2024</c:v>
                </c:pt>
              </c:strCache>
            </c:strRef>
          </c:cat>
          <c:val>
            <c:numRef>
              <c:f>gesamt!$E$104:$E$106</c:f>
              <c:numCache>
                <c:formatCode>0.0%</c:formatCode>
                <c:ptCount val="3"/>
                <c:pt idx="0">
                  <c:v>0.03</c:v>
                </c:pt>
                <c:pt idx="1">
                  <c:v>6.4399999999999999E-2</c:v>
                </c:pt>
                <c:pt idx="2">
                  <c:v>4.9940071913703553E-2</c:v>
                </c:pt>
              </c:numCache>
            </c:numRef>
          </c:val>
          <c:extLst>
            <c:ext xmlns:c16="http://schemas.microsoft.com/office/drawing/2014/chart" uri="{C3380CC4-5D6E-409C-BE32-E72D297353CC}">
              <c16:uniqueId val="{00000002-203A-4B26-AC97-651AB5ED040D}"/>
            </c:ext>
          </c:extLst>
        </c:ser>
        <c:ser>
          <c:idx val="1"/>
          <c:order val="1"/>
          <c:tx>
            <c:strRef>
              <c:f>gesamt!$F$103</c:f>
              <c:strCache>
                <c:ptCount val="1"/>
                <c:pt idx="0">
                  <c:v>gleich</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gesamt!$D$104:$D$106</c:f>
              <c:strCache>
                <c:ptCount val="3"/>
                <c:pt idx="0">
                  <c:v>Herbstumfrage 2023</c:v>
                </c:pt>
                <c:pt idx="1">
                  <c:v>Frühjahrsumfage 2023</c:v>
                </c:pt>
                <c:pt idx="2">
                  <c:v>Herbstumfrage 2024</c:v>
                </c:pt>
              </c:strCache>
            </c:strRef>
          </c:cat>
          <c:val>
            <c:numRef>
              <c:f>gesamt!$F$104:$F$106</c:f>
              <c:numCache>
                <c:formatCode>0.0%</c:formatCode>
                <c:ptCount val="3"/>
                <c:pt idx="0">
                  <c:v>0.38799999999999996</c:v>
                </c:pt>
                <c:pt idx="1">
                  <c:v>0.53520000000000001</c:v>
                </c:pt>
                <c:pt idx="2">
                  <c:v>0.47403116260487416</c:v>
                </c:pt>
              </c:numCache>
            </c:numRef>
          </c:val>
          <c:extLst>
            <c:ext xmlns:c16="http://schemas.microsoft.com/office/drawing/2014/chart" uri="{C3380CC4-5D6E-409C-BE32-E72D297353CC}">
              <c16:uniqueId val="{00000003-203A-4B26-AC97-651AB5ED040D}"/>
            </c:ext>
          </c:extLst>
        </c:ser>
        <c:ser>
          <c:idx val="2"/>
          <c:order val="2"/>
          <c:tx>
            <c:strRef>
              <c:f>gesamt!$G$103</c:f>
              <c:strCache>
                <c:ptCount val="1"/>
                <c:pt idx="0">
                  <c:v>schlechter</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gesamt!$D$104:$D$106</c:f>
              <c:strCache>
                <c:ptCount val="3"/>
                <c:pt idx="0">
                  <c:v>Herbstumfrage 2023</c:v>
                </c:pt>
                <c:pt idx="1">
                  <c:v>Frühjahrsumfage 2023</c:v>
                </c:pt>
                <c:pt idx="2">
                  <c:v>Herbstumfrage 2024</c:v>
                </c:pt>
              </c:strCache>
            </c:strRef>
          </c:cat>
          <c:val>
            <c:numRef>
              <c:f>gesamt!$G$104:$G$106</c:f>
              <c:numCache>
                <c:formatCode>0.0%</c:formatCode>
                <c:ptCount val="3"/>
                <c:pt idx="0">
                  <c:v>0.58200000000000007</c:v>
                </c:pt>
                <c:pt idx="1">
                  <c:v>0.40039999999999998</c:v>
                </c:pt>
                <c:pt idx="2">
                  <c:v>0.47602876548142231</c:v>
                </c:pt>
              </c:numCache>
            </c:numRef>
          </c:val>
          <c:extLst>
            <c:ext xmlns:c16="http://schemas.microsoft.com/office/drawing/2014/chart" uri="{C3380CC4-5D6E-409C-BE32-E72D297353CC}">
              <c16:uniqueId val="{00000004-203A-4B26-AC97-651AB5ED040D}"/>
            </c:ext>
          </c:extLst>
        </c:ser>
        <c:dLbls>
          <c:showLegendKey val="0"/>
          <c:showVal val="0"/>
          <c:showCatName val="0"/>
          <c:showSerName val="0"/>
          <c:showPercent val="0"/>
          <c:showBubbleSize val="0"/>
        </c:dLbls>
        <c:gapWidth val="150"/>
        <c:overlap val="100"/>
        <c:axId val="631422336"/>
        <c:axId val="631413808"/>
      </c:barChart>
      <c:catAx>
        <c:axId val="6314223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631413808"/>
        <c:crosses val="autoZero"/>
        <c:auto val="1"/>
        <c:lblAlgn val="ctr"/>
        <c:lblOffset val="100"/>
        <c:noMultiLvlLbl val="0"/>
      </c:catAx>
      <c:valAx>
        <c:axId val="631413808"/>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one"/>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631422336"/>
        <c:crosses val="autoZero"/>
        <c:crossBetween val="between"/>
      </c:valAx>
      <c:spPr>
        <a:solidFill>
          <a:sysClr val="window" lastClr="FFFFFF"/>
        </a:solidFill>
        <a:ln>
          <a:noFill/>
        </a:ln>
        <a:effectLst/>
      </c:spPr>
    </c:plotArea>
    <c:legend>
      <c:legendPos val="b"/>
      <c:layout>
        <c:manualLayout>
          <c:xMode val="edge"/>
          <c:yMode val="edge"/>
          <c:x val="0.33133065310389759"/>
          <c:y val="0.85255652056368492"/>
          <c:w val="0.33733844125802426"/>
          <c:h val="0.13790604500617681"/>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legend>
    <c:plotVisOnly val="1"/>
    <c:dispBlanksAs val="gap"/>
    <c:showDLblsOverMax val="0"/>
  </c:chart>
  <c:spPr>
    <a:solidFill>
      <a:srgbClr val="DBEEF4"/>
    </a:solidFill>
    <a:ln w="9525" cap="flat" cmpd="sng" algn="ctr">
      <a:solidFill>
        <a:schemeClr val="tx1">
          <a:lumMod val="15000"/>
          <a:lumOff val="85000"/>
        </a:schemeClr>
      </a:solidFill>
      <a:round/>
    </a:ln>
    <a:effectLst/>
  </c:spPr>
  <c:txPr>
    <a:bodyPr/>
    <a:lstStyle/>
    <a:p>
      <a:pPr>
        <a:defRPr sz="700">
          <a:solidFill>
            <a:sysClr val="windowText" lastClr="000000"/>
          </a:solidFill>
        </a:defRPr>
      </a:pPr>
      <a:endParaRPr lang="de-D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gesamt!$E$118</c:f>
              <c:strCache>
                <c:ptCount val="1"/>
                <c:pt idx="0">
                  <c:v>gut</c:v>
                </c:pt>
              </c:strCache>
            </c:strRef>
          </c:tx>
          <c:spPr>
            <a:solidFill>
              <a:srgbClr val="0197C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[2]gesamt!$C$77:$C$83</c:f>
              <c:strCache>
                <c:ptCount val="7"/>
                <c:pt idx="0">
                  <c:v>im Ausbau</c:v>
                </c:pt>
                <c:pt idx="1">
                  <c:v>Sonstiger Tiefbau</c:v>
                </c:pt>
                <c:pt idx="2">
                  <c:v>Straßenbau</c:v>
                </c:pt>
                <c:pt idx="3">
                  <c:v>öffentlicher Hochbau</c:v>
                </c:pt>
                <c:pt idx="4">
                  <c:v>Wirtschaftsbau</c:v>
                </c:pt>
                <c:pt idx="5">
                  <c:v>Wohnungsbau</c:v>
                </c:pt>
                <c:pt idx="6">
                  <c:v>Insgesamt</c:v>
                </c:pt>
              </c:strCache>
            </c:strRef>
          </c:cat>
          <c:val>
            <c:numRef>
              <c:f>gesamt!$E$119:$E$125</c:f>
              <c:numCache>
                <c:formatCode>0.0%</c:formatCode>
                <c:ptCount val="7"/>
                <c:pt idx="0">
                  <c:v>0.18169582772543741</c:v>
                </c:pt>
                <c:pt idx="1">
                  <c:v>0.12373225152129817</c:v>
                </c:pt>
                <c:pt idx="2">
                  <c:v>7.5418994413407825E-2</c:v>
                </c:pt>
                <c:pt idx="3">
                  <c:v>4.7937569676700112E-2</c:v>
                </c:pt>
                <c:pt idx="4">
                  <c:v>6.820461384152457E-2</c:v>
                </c:pt>
                <c:pt idx="5">
                  <c:v>0.12361213915618061</c:v>
                </c:pt>
                <c:pt idx="6">
                  <c:v>0.10353378797272164</c:v>
                </c:pt>
              </c:numCache>
            </c:numRef>
          </c:val>
          <c:extLst>
            <c:ext xmlns:c16="http://schemas.microsoft.com/office/drawing/2014/chart" uri="{C3380CC4-5D6E-409C-BE32-E72D297353CC}">
              <c16:uniqueId val="{00000000-FC5E-45BA-A9F9-E9388ABDAE69}"/>
            </c:ext>
          </c:extLst>
        </c:ser>
        <c:ser>
          <c:idx val="1"/>
          <c:order val="1"/>
          <c:tx>
            <c:strRef>
              <c:f>gesamt!$F$118</c:f>
              <c:strCache>
                <c:ptCount val="1"/>
                <c:pt idx="0">
                  <c:v>ausreichend</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[2]gesamt!$C$77:$C$83</c:f>
              <c:strCache>
                <c:ptCount val="7"/>
                <c:pt idx="0">
                  <c:v>im Ausbau</c:v>
                </c:pt>
                <c:pt idx="1">
                  <c:v>Sonstiger Tiefbau</c:v>
                </c:pt>
                <c:pt idx="2">
                  <c:v>Straßenbau</c:v>
                </c:pt>
                <c:pt idx="3">
                  <c:v>öffentlicher Hochbau</c:v>
                </c:pt>
                <c:pt idx="4">
                  <c:v>Wirtschaftsbau</c:v>
                </c:pt>
                <c:pt idx="5">
                  <c:v>Wohnungsbau</c:v>
                </c:pt>
                <c:pt idx="6">
                  <c:v>Insgesamt</c:v>
                </c:pt>
              </c:strCache>
            </c:strRef>
          </c:cat>
          <c:val>
            <c:numRef>
              <c:f>gesamt!$F$119:$F$125</c:f>
              <c:numCache>
                <c:formatCode>0.0%</c:formatCode>
                <c:ptCount val="7"/>
                <c:pt idx="0">
                  <c:v>0.39300134589502017</c:v>
                </c:pt>
                <c:pt idx="1">
                  <c:v>0.40567951318458417</c:v>
                </c:pt>
                <c:pt idx="2">
                  <c:v>0.32681564245810057</c:v>
                </c:pt>
                <c:pt idx="3">
                  <c:v>0.20624303232998886</c:v>
                </c:pt>
                <c:pt idx="4">
                  <c:v>0.28084252758274825</c:v>
                </c:pt>
                <c:pt idx="5">
                  <c:v>0.24056254626202814</c:v>
                </c:pt>
                <c:pt idx="6">
                  <c:v>0.28910932010746021</c:v>
                </c:pt>
              </c:numCache>
            </c:numRef>
          </c:val>
          <c:extLst>
            <c:ext xmlns:c16="http://schemas.microsoft.com/office/drawing/2014/chart" uri="{C3380CC4-5D6E-409C-BE32-E72D297353CC}">
              <c16:uniqueId val="{00000001-FC5E-45BA-A9F9-E9388ABDAE69}"/>
            </c:ext>
          </c:extLst>
        </c:ser>
        <c:ser>
          <c:idx val="2"/>
          <c:order val="2"/>
          <c:tx>
            <c:strRef>
              <c:f>gesamt!$G$118</c:f>
              <c:strCache>
                <c:ptCount val="1"/>
                <c:pt idx="0">
                  <c:v>zu klein</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[2]gesamt!$C$77:$C$83</c:f>
              <c:strCache>
                <c:ptCount val="7"/>
                <c:pt idx="0">
                  <c:v>im Ausbau</c:v>
                </c:pt>
                <c:pt idx="1">
                  <c:v>Sonstiger Tiefbau</c:v>
                </c:pt>
                <c:pt idx="2">
                  <c:v>Straßenbau</c:v>
                </c:pt>
                <c:pt idx="3">
                  <c:v>öffentlicher Hochbau</c:v>
                </c:pt>
                <c:pt idx="4">
                  <c:v>Wirtschaftsbau</c:v>
                </c:pt>
                <c:pt idx="5">
                  <c:v>Wohnungsbau</c:v>
                </c:pt>
                <c:pt idx="6">
                  <c:v>Insgesamt</c:v>
                </c:pt>
              </c:strCache>
            </c:strRef>
          </c:cat>
          <c:val>
            <c:numRef>
              <c:f>gesamt!$G$119:$G$125</c:f>
              <c:numCache>
                <c:formatCode>0.0%</c:formatCode>
                <c:ptCount val="7"/>
                <c:pt idx="0">
                  <c:v>0.42530282637954242</c:v>
                </c:pt>
                <c:pt idx="1">
                  <c:v>0.47058823529411764</c:v>
                </c:pt>
                <c:pt idx="2">
                  <c:v>0.5977653631284916</c:v>
                </c:pt>
                <c:pt idx="3">
                  <c:v>0.74581939799331098</c:v>
                </c:pt>
                <c:pt idx="4">
                  <c:v>0.65095285857572716</c:v>
                </c:pt>
                <c:pt idx="5">
                  <c:v>0.63582531458179126</c:v>
                </c:pt>
                <c:pt idx="6">
                  <c:v>0.60735689191981812</c:v>
                </c:pt>
              </c:numCache>
            </c:numRef>
          </c:val>
          <c:extLst>
            <c:ext xmlns:c16="http://schemas.microsoft.com/office/drawing/2014/chart" uri="{C3380CC4-5D6E-409C-BE32-E72D297353CC}">
              <c16:uniqueId val="{00000002-FC5E-45BA-A9F9-E9388ABDAE69}"/>
            </c:ext>
          </c:extLst>
        </c:ser>
        <c:dLbls>
          <c:showLegendKey val="0"/>
          <c:showVal val="0"/>
          <c:showCatName val="0"/>
          <c:showSerName val="0"/>
          <c:showPercent val="0"/>
          <c:showBubbleSize val="0"/>
        </c:dLbls>
        <c:gapWidth val="150"/>
        <c:overlap val="100"/>
        <c:axId val="634059560"/>
        <c:axId val="634066120"/>
      </c:barChart>
      <c:catAx>
        <c:axId val="634059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634066120"/>
        <c:crosses val="autoZero"/>
        <c:auto val="1"/>
        <c:lblAlgn val="ctr"/>
        <c:lblOffset val="100"/>
        <c:noMultiLvlLbl val="0"/>
      </c:catAx>
      <c:valAx>
        <c:axId val="6340661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crossAx val="634059560"/>
        <c:crosses val="autoZero"/>
        <c:crossBetween val="between"/>
      </c:valAx>
      <c:spPr>
        <a:solidFill>
          <a:sysClr val="window" lastClr="FFFFFF"/>
        </a:solid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de-DE"/>
        </a:p>
      </c:txPr>
    </c:legend>
    <c:plotVisOnly val="1"/>
    <c:dispBlanksAs val="gap"/>
    <c:showDLblsOverMax val="0"/>
  </c:chart>
  <c:spPr>
    <a:solidFill>
      <a:srgbClr val="DBEEF4"/>
    </a:solidFill>
    <a:ln w="9525" cap="flat" cmpd="sng" algn="ctr">
      <a:solidFill>
        <a:schemeClr val="tx1">
          <a:lumMod val="15000"/>
          <a:lumOff val="85000"/>
        </a:schemeClr>
      </a:solidFill>
      <a:round/>
    </a:ln>
    <a:effectLst/>
  </c:spPr>
  <c:txPr>
    <a:bodyPr/>
    <a:lstStyle/>
    <a:p>
      <a:pPr>
        <a:defRPr sz="700">
          <a:solidFill>
            <a:sysClr val="windowText" lastClr="000000"/>
          </a:solidFill>
        </a:defRPr>
      </a:pPr>
      <a:endParaRPr lang="de-D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gesamt!$Q$297</c:f>
              <c:strCache>
                <c:ptCount val="1"/>
                <c:pt idx="0">
                  <c:v>Ausbau</c:v>
                </c:pt>
              </c:strCache>
            </c:strRef>
          </c:tx>
          <c:spPr>
            <a:solidFill>
              <a:srgbClr val="0197C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gesamt!$R$295:$T$296</c:f>
              <c:multiLvlStrCache>
                <c:ptCount val="3"/>
                <c:lvl>
                  <c:pt idx="0">
                    <c:v>Ø gesamt</c:v>
                  </c:pt>
                  <c:pt idx="1">
                    <c:v>Ø gesamt</c:v>
                  </c:pt>
                  <c:pt idx="2">
                    <c:v>Ø gesamt</c:v>
                  </c:pt>
                </c:lvl>
                <c:lvl>
                  <c:pt idx="0">
                    <c:v>Herbst 2023</c:v>
                  </c:pt>
                  <c:pt idx="1">
                    <c:v>Frühjahr 2024</c:v>
                  </c:pt>
                  <c:pt idx="2">
                    <c:v>Herbst 2024</c:v>
                  </c:pt>
                </c:lvl>
              </c:multiLvlStrCache>
            </c:multiLvlStrRef>
          </c:cat>
          <c:val>
            <c:numRef>
              <c:f>gesamt!$R$297:$T$297</c:f>
              <c:numCache>
                <c:formatCode>0%</c:formatCode>
                <c:ptCount val="3"/>
                <c:pt idx="0">
                  <c:v>0.6</c:v>
                </c:pt>
                <c:pt idx="1">
                  <c:v>0.57999999999999996</c:v>
                </c:pt>
                <c:pt idx="2">
                  <c:v>0.57999999999999996</c:v>
                </c:pt>
              </c:numCache>
            </c:numRef>
          </c:val>
          <c:extLst>
            <c:ext xmlns:c16="http://schemas.microsoft.com/office/drawing/2014/chart" uri="{C3380CC4-5D6E-409C-BE32-E72D297353CC}">
              <c16:uniqueId val="{00000000-37F8-41DA-8EBC-1437C90D3201}"/>
            </c:ext>
          </c:extLst>
        </c:ser>
        <c:ser>
          <c:idx val="1"/>
          <c:order val="1"/>
          <c:tx>
            <c:strRef>
              <c:f>gesamt!$Q$298</c:f>
              <c:strCache>
                <c:ptCount val="1"/>
                <c:pt idx="0">
                  <c:v>Tiefbau</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gesamt!$R$295:$T$296</c:f>
              <c:multiLvlStrCache>
                <c:ptCount val="3"/>
                <c:lvl>
                  <c:pt idx="0">
                    <c:v>Ø gesamt</c:v>
                  </c:pt>
                  <c:pt idx="1">
                    <c:v>Ø gesamt</c:v>
                  </c:pt>
                  <c:pt idx="2">
                    <c:v>Ø gesamt</c:v>
                  </c:pt>
                </c:lvl>
                <c:lvl>
                  <c:pt idx="0">
                    <c:v>Herbst 2023</c:v>
                  </c:pt>
                  <c:pt idx="1">
                    <c:v>Frühjahr 2024</c:v>
                  </c:pt>
                  <c:pt idx="2">
                    <c:v>Herbst 2024</c:v>
                  </c:pt>
                </c:lvl>
              </c:multiLvlStrCache>
            </c:multiLvlStrRef>
          </c:cat>
          <c:val>
            <c:numRef>
              <c:f>gesamt!$R$298:$T$298</c:f>
              <c:numCache>
                <c:formatCode>0%</c:formatCode>
                <c:ptCount val="3"/>
                <c:pt idx="0">
                  <c:v>0.63</c:v>
                </c:pt>
                <c:pt idx="1">
                  <c:v>0.65</c:v>
                </c:pt>
                <c:pt idx="2">
                  <c:v>0.62</c:v>
                </c:pt>
              </c:numCache>
            </c:numRef>
          </c:val>
          <c:extLst>
            <c:ext xmlns:c16="http://schemas.microsoft.com/office/drawing/2014/chart" uri="{C3380CC4-5D6E-409C-BE32-E72D297353CC}">
              <c16:uniqueId val="{00000001-37F8-41DA-8EBC-1437C90D3201}"/>
            </c:ext>
          </c:extLst>
        </c:ser>
        <c:ser>
          <c:idx val="2"/>
          <c:order val="2"/>
          <c:tx>
            <c:strRef>
              <c:f>gesamt!$Q$299</c:f>
              <c:strCache>
                <c:ptCount val="1"/>
                <c:pt idx="0">
                  <c:v>Hochbau</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gesamt!$R$295:$T$296</c:f>
              <c:multiLvlStrCache>
                <c:ptCount val="3"/>
                <c:lvl>
                  <c:pt idx="0">
                    <c:v>Ø gesamt</c:v>
                  </c:pt>
                  <c:pt idx="1">
                    <c:v>Ø gesamt</c:v>
                  </c:pt>
                  <c:pt idx="2">
                    <c:v>Ø gesamt</c:v>
                  </c:pt>
                </c:lvl>
                <c:lvl>
                  <c:pt idx="0">
                    <c:v>Herbst 2023</c:v>
                  </c:pt>
                  <c:pt idx="1">
                    <c:v>Frühjahr 2024</c:v>
                  </c:pt>
                  <c:pt idx="2">
                    <c:v>Herbst 2024</c:v>
                  </c:pt>
                </c:lvl>
              </c:multiLvlStrCache>
            </c:multiLvlStrRef>
          </c:cat>
          <c:val>
            <c:numRef>
              <c:f>gesamt!$R$299:$T$299</c:f>
              <c:numCache>
                <c:formatCode>0%</c:formatCode>
                <c:ptCount val="3"/>
                <c:pt idx="0">
                  <c:v>0.59</c:v>
                </c:pt>
                <c:pt idx="1">
                  <c:v>0.57999999999999996</c:v>
                </c:pt>
                <c:pt idx="2">
                  <c:v>0.57999999999999996</c:v>
                </c:pt>
              </c:numCache>
            </c:numRef>
          </c:val>
          <c:extLst>
            <c:ext xmlns:c16="http://schemas.microsoft.com/office/drawing/2014/chart" uri="{C3380CC4-5D6E-409C-BE32-E72D297353CC}">
              <c16:uniqueId val="{00000002-37F8-41DA-8EBC-1437C90D3201}"/>
            </c:ext>
          </c:extLst>
        </c:ser>
        <c:dLbls>
          <c:showLegendKey val="0"/>
          <c:showVal val="0"/>
          <c:showCatName val="0"/>
          <c:showSerName val="0"/>
          <c:showPercent val="0"/>
          <c:showBubbleSize val="0"/>
        </c:dLbls>
        <c:gapWidth val="219"/>
        <c:overlap val="-27"/>
        <c:axId val="661808463"/>
        <c:axId val="661813743"/>
      </c:barChart>
      <c:catAx>
        <c:axId val="66180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de-DE"/>
          </a:p>
        </c:txPr>
        <c:crossAx val="661813743"/>
        <c:crosses val="autoZero"/>
        <c:auto val="1"/>
        <c:lblAlgn val="ctr"/>
        <c:lblOffset val="100"/>
        <c:noMultiLvlLbl val="0"/>
      </c:catAx>
      <c:valAx>
        <c:axId val="6618137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de-DE"/>
          </a:p>
        </c:txPr>
        <c:crossAx val="661808463"/>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rgbClr val="DBEEF4"/>
    </a:solidFill>
    <a:ln w="9525" cap="flat" cmpd="sng" algn="ctr">
      <a:solidFill>
        <a:schemeClr val="tx1">
          <a:lumMod val="15000"/>
          <a:lumOff val="85000"/>
        </a:schemeClr>
      </a:solidFill>
      <a:round/>
    </a:ln>
    <a:effectLst/>
  </c:spPr>
  <c:txPr>
    <a:bodyPr/>
    <a:lstStyle/>
    <a:p>
      <a:pPr>
        <a:defRPr sz="700"/>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FCD0F45-EA89-47B8-BC23-2A317252F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1565</Words>
  <Characters>9863</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Geyer</dc:creator>
  <cp:keywords/>
  <dc:description/>
  <cp:lastModifiedBy>Rabe</cp:lastModifiedBy>
  <cp:revision>4</cp:revision>
  <cp:lastPrinted>2024-12-04T11:12:00Z</cp:lastPrinted>
  <dcterms:created xsi:type="dcterms:W3CDTF">2024-12-05T07:07:00Z</dcterms:created>
  <dcterms:modified xsi:type="dcterms:W3CDTF">2024-12-05T09:18:00Z</dcterms:modified>
</cp:coreProperties>
</file>