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827F9" w14:textId="430774C8" w:rsidR="00511087" w:rsidRDefault="00EA0144">
      <w:pPr>
        <w:rPr>
          <w:b/>
        </w:rPr>
      </w:pPr>
      <w:r>
        <w:rPr>
          <w:b/>
        </w:rPr>
        <w:t>6</w:t>
      </w:r>
      <w:r w:rsidR="00922332">
        <w:rPr>
          <w:b/>
        </w:rPr>
        <w:t>.12.202</w:t>
      </w:r>
      <w:r w:rsidR="009355B7">
        <w:rPr>
          <w:b/>
        </w:rPr>
        <w:t>4</w:t>
      </w:r>
    </w:p>
    <w:p w14:paraId="024794CA" w14:textId="77777777" w:rsidR="00511087" w:rsidRDefault="00511087">
      <w:pPr>
        <w:rPr>
          <w:b/>
        </w:rPr>
      </w:pPr>
    </w:p>
    <w:p w14:paraId="7F5645A3" w14:textId="636AA8BA" w:rsidR="00FA038B" w:rsidRPr="00AA2FF2" w:rsidRDefault="00FA038B">
      <w:pPr>
        <w:rPr>
          <w:rFonts w:ascii="TheSansOffice" w:hAnsi="TheSansOffice"/>
          <w:b/>
          <w:sz w:val="24"/>
          <w:szCs w:val="24"/>
        </w:rPr>
      </w:pPr>
      <w:r w:rsidRPr="00AA2FF2">
        <w:rPr>
          <w:rFonts w:ascii="TheSansOffice" w:hAnsi="TheSansOffice"/>
          <w:noProof/>
          <w:sz w:val="24"/>
          <w:szCs w:val="24"/>
          <w:lang w:eastAsia="de-DE"/>
        </w:rPr>
        <mc:AlternateContent>
          <mc:Choice Requires="wps">
            <w:drawing>
              <wp:anchor distT="0" distB="0" distL="114300" distR="114300" simplePos="0" relativeHeight="251662336" behindDoc="0" locked="1" layoutInCell="1" allowOverlap="1" wp14:anchorId="50E8D46E" wp14:editId="7E73A15B">
                <wp:simplePos x="0" y="0"/>
                <wp:positionH relativeFrom="page">
                  <wp:posOffset>761365</wp:posOffset>
                </wp:positionH>
                <wp:positionV relativeFrom="page">
                  <wp:posOffset>1305560</wp:posOffset>
                </wp:positionV>
                <wp:extent cx="3116580" cy="413385"/>
                <wp:effectExtent l="0" t="0" r="7620" b="571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6671A" w14:textId="55AB2439" w:rsidR="00FA038B" w:rsidRPr="00FA038B" w:rsidRDefault="00FA038B" w:rsidP="00FA038B">
                            <w:pPr>
                              <w:rPr>
                                <w:rFonts w:ascii="TheSansOffice" w:hAnsi="TheSansOffice"/>
                                <w:b/>
                                <w:color w:val="5B9BD5" w:themeColor="accent1"/>
                                <w:sz w:val="36"/>
                                <w:szCs w:val="36"/>
                              </w:rPr>
                            </w:pPr>
                            <w:r>
                              <w:rPr>
                                <w:rFonts w:ascii="TheSansOffice" w:hAnsi="TheSansOffice"/>
                                <w:b/>
                                <w:color w:val="5B9BD5" w:themeColor="accent1"/>
                                <w:sz w:val="36"/>
                                <w:szCs w:val="36"/>
                              </w:rPr>
                              <w:t>Presseinformation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E8D46E" id="_x0000_t202" coordsize="21600,21600" o:spt="202" path="m,l,21600r21600,l21600,xe">
                <v:stroke joinstyle="miter"/>
                <v:path gradientshapeok="t" o:connecttype="rect"/>
              </v:shapetype>
              <v:shape id="Text Box 1" o:spid="_x0000_s1026" type="#_x0000_t202" style="position:absolute;margin-left:59.95pt;margin-top:102.8pt;width:245.4pt;height:3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" stroked="f">
                <v:textbox>
                  <w:txbxContent>
                    <w:p w14:paraId="0C86671A" w14:textId="55AB2439" w:rsidR="00FA038B" w:rsidRPr="00FA038B" w:rsidRDefault="00FA038B" w:rsidP="00FA038B">
                      <w:pPr>
                        <w:rPr>
                          <w:rFonts w:ascii="TheSansOffice" w:hAnsi="TheSansOffice"/>
                          <w:b/>
                          <w:color w:val="5B9BD5" w:themeColor="accent1"/>
                          <w:sz w:val="36"/>
                          <w:szCs w:val="36"/>
                        </w:rPr>
                      </w:pPr>
                      <w:r>
                        <w:rPr>
                          <w:rFonts w:ascii="TheSansOffice" w:hAnsi="TheSansOffice"/>
                          <w:b/>
                          <w:color w:val="5B9BD5" w:themeColor="accent1"/>
                          <w:sz w:val="36"/>
                          <w:szCs w:val="36"/>
                        </w:rPr>
                        <w:t>Presseinformation</w:t>
                      </w:r>
                    </w:p>
                  </w:txbxContent>
                </v:textbox>
                <w10:wrap anchorx="page" anchory="page"/>
                <w10:anchorlock/>
              </v:shape>
            </w:pict>
          </mc:Fallback>
        </mc:AlternateContent>
      </w:r>
      <w:r w:rsidRPr="00AA2FF2">
        <w:rPr>
          <w:rFonts w:ascii="TheSansOffice" w:hAnsi="TheSansOffice"/>
          <w:b/>
          <w:noProof/>
          <w:sz w:val="24"/>
          <w:szCs w:val="24"/>
          <w:lang w:eastAsia="de-DE"/>
        </w:rPr>
        <w:drawing>
          <wp:anchor distT="0" distB="0" distL="114300" distR="114300" simplePos="0" relativeHeight="251660288" behindDoc="0" locked="0" layoutInCell="0" allowOverlap="1" wp14:anchorId="05E403F8" wp14:editId="7868BCDE">
            <wp:simplePos x="0" y="0"/>
            <wp:positionH relativeFrom="column">
              <wp:posOffset>4048125</wp:posOffset>
            </wp:positionH>
            <wp:positionV relativeFrom="page">
              <wp:posOffset>356870</wp:posOffset>
            </wp:positionV>
            <wp:extent cx="2209800" cy="1659255"/>
            <wp:effectExtent l="0" t="0" r="0" b="0"/>
            <wp:wrapTopAndBottom/>
            <wp:docPr id="5" name="Bild 2" descr="Logo ZDB 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DB VT"/>
                    <pic:cNvPicPr>
                      <a:picLocks noChangeAspect="1" noChangeArrowheads="1"/>
                    </pic:cNvPicPr>
                  </pic:nvPicPr>
                  <pic:blipFill>
                    <a:blip r:embed="rId8"/>
                    <a:srcRect/>
                    <a:stretch>
                      <a:fillRect/>
                    </a:stretch>
                  </pic:blipFill>
                  <pic:spPr bwMode="auto">
                    <a:xfrm>
                      <a:off x="0" y="0"/>
                      <a:ext cx="2209800" cy="1659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A2FF2">
        <w:rPr>
          <w:rFonts w:ascii="TheSansOffice" w:hAnsi="TheSansOffice"/>
          <w:b/>
          <w:sz w:val="24"/>
          <w:szCs w:val="24"/>
        </w:rPr>
        <w:t>Statement von Wolfgang Schubert-Raab</w:t>
      </w:r>
      <w:r w:rsidR="00511087" w:rsidRPr="00AA2FF2">
        <w:rPr>
          <w:rFonts w:ascii="TheSansOffice" w:hAnsi="TheSansOffice"/>
          <w:b/>
          <w:sz w:val="24"/>
          <w:szCs w:val="24"/>
        </w:rPr>
        <w:t xml:space="preserve">, </w:t>
      </w:r>
      <w:r w:rsidRPr="00AA2FF2">
        <w:rPr>
          <w:rFonts w:ascii="TheSansOffice" w:hAnsi="TheSansOffice"/>
          <w:b/>
          <w:sz w:val="24"/>
          <w:szCs w:val="24"/>
        </w:rPr>
        <w:t>Präsident Zentralverband Deutsches Baugewerbe</w:t>
      </w:r>
      <w:r w:rsidR="00511087" w:rsidRPr="00AA2FF2">
        <w:rPr>
          <w:rFonts w:ascii="TheSansOffice" w:hAnsi="TheSansOffice"/>
          <w:b/>
          <w:sz w:val="24"/>
          <w:szCs w:val="24"/>
        </w:rPr>
        <w:t>,</w:t>
      </w:r>
    </w:p>
    <w:p w14:paraId="4D7634DB" w14:textId="03B0AEDF" w:rsidR="00511087" w:rsidRPr="00AA2FF2" w:rsidRDefault="00511087" w:rsidP="00511087">
      <w:pPr>
        <w:pStyle w:val="Listenabsatz"/>
        <w:numPr>
          <w:ilvl w:val="0"/>
          <w:numId w:val="6"/>
        </w:numPr>
        <w:rPr>
          <w:rFonts w:ascii="TheSansOffice" w:hAnsi="TheSansOffice"/>
          <w:b/>
          <w:sz w:val="24"/>
          <w:szCs w:val="24"/>
        </w:rPr>
      </w:pPr>
      <w:r w:rsidRPr="00AA2FF2">
        <w:rPr>
          <w:rFonts w:ascii="TheSansOffice" w:hAnsi="TheSansOffice"/>
          <w:b/>
          <w:sz w:val="24"/>
          <w:szCs w:val="24"/>
        </w:rPr>
        <w:t>zur Baukonjunktur 202</w:t>
      </w:r>
      <w:r w:rsidR="009355B7" w:rsidRPr="00AA2FF2">
        <w:rPr>
          <w:rFonts w:ascii="TheSansOffice" w:hAnsi="TheSansOffice"/>
          <w:b/>
          <w:sz w:val="24"/>
          <w:szCs w:val="24"/>
        </w:rPr>
        <w:t>4</w:t>
      </w:r>
      <w:r w:rsidRPr="00AA2FF2">
        <w:rPr>
          <w:rFonts w:ascii="TheSansOffice" w:hAnsi="TheSansOffice"/>
          <w:b/>
          <w:sz w:val="24"/>
          <w:szCs w:val="24"/>
        </w:rPr>
        <w:t>/202</w:t>
      </w:r>
      <w:r w:rsidR="009355B7" w:rsidRPr="00AA2FF2">
        <w:rPr>
          <w:rFonts w:ascii="TheSansOffice" w:hAnsi="TheSansOffice"/>
          <w:b/>
          <w:sz w:val="24"/>
          <w:szCs w:val="24"/>
        </w:rPr>
        <w:t>5</w:t>
      </w:r>
      <w:r w:rsidRPr="00AA2FF2">
        <w:rPr>
          <w:rFonts w:ascii="TheSansOffice" w:hAnsi="TheSansOffice"/>
          <w:b/>
          <w:sz w:val="24"/>
          <w:szCs w:val="24"/>
        </w:rPr>
        <w:t xml:space="preserve"> und </w:t>
      </w:r>
    </w:p>
    <w:p w14:paraId="59F34262" w14:textId="4AD6A61A" w:rsidR="00FA038B" w:rsidRPr="00AA2FF2" w:rsidRDefault="00511087" w:rsidP="00511087">
      <w:pPr>
        <w:pStyle w:val="Listenabsatz"/>
        <w:numPr>
          <w:ilvl w:val="0"/>
          <w:numId w:val="6"/>
        </w:numPr>
        <w:rPr>
          <w:rFonts w:ascii="TheSansOffice" w:hAnsi="TheSansOffice"/>
          <w:b/>
          <w:sz w:val="24"/>
          <w:szCs w:val="24"/>
        </w:rPr>
      </w:pPr>
      <w:r w:rsidRPr="00AA2FF2">
        <w:rPr>
          <w:rFonts w:ascii="TheSansOffice" w:hAnsi="TheSansOffice"/>
          <w:b/>
          <w:sz w:val="24"/>
          <w:szCs w:val="24"/>
        </w:rPr>
        <w:t xml:space="preserve">zur aktuellen Herbstumfrage des Deutschen Baugewerbes. </w:t>
      </w:r>
    </w:p>
    <w:p w14:paraId="22082F62" w14:textId="77777777" w:rsidR="009355B7" w:rsidRPr="00AA2FF2" w:rsidRDefault="009355B7" w:rsidP="009355B7">
      <w:pPr>
        <w:rPr>
          <w:rFonts w:ascii="TheSansOffice" w:hAnsi="TheSansOffice"/>
          <w:b/>
          <w:sz w:val="24"/>
          <w:szCs w:val="24"/>
        </w:rPr>
      </w:pPr>
    </w:p>
    <w:p w14:paraId="5409AB7E" w14:textId="77777777" w:rsidR="00784F32" w:rsidRPr="00AA2FF2" w:rsidRDefault="009355B7" w:rsidP="009355B7">
      <w:pPr>
        <w:rPr>
          <w:rFonts w:ascii="TheSansOffice" w:hAnsi="TheSansOffice"/>
          <w:b/>
          <w:sz w:val="24"/>
          <w:szCs w:val="24"/>
        </w:rPr>
      </w:pPr>
      <w:r w:rsidRPr="00AA2FF2">
        <w:rPr>
          <w:rFonts w:ascii="TheSansOffice" w:hAnsi="TheSansOffice"/>
          <w:b/>
          <w:sz w:val="24"/>
          <w:szCs w:val="24"/>
        </w:rPr>
        <w:t xml:space="preserve">Baukonjunktur 2024 / 2025: </w:t>
      </w:r>
    </w:p>
    <w:p w14:paraId="4BAE2BF3" w14:textId="7FA7663A" w:rsidR="009355B7" w:rsidRPr="00AA2FF2" w:rsidRDefault="009355B7" w:rsidP="009355B7">
      <w:pPr>
        <w:rPr>
          <w:rFonts w:ascii="TheSansOffice" w:hAnsi="TheSansOffice"/>
          <w:b/>
          <w:sz w:val="24"/>
          <w:szCs w:val="24"/>
        </w:rPr>
      </w:pPr>
      <w:r w:rsidRPr="00AA2FF2">
        <w:rPr>
          <w:rFonts w:ascii="TheSansOffice" w:hAnsi="TheSansOffice"/>
          <w:b/>
          <w:sz w:val="24"/>
          <w:szCs w:val="24"/>
        </w:rPr>
        <w:t>Nachfrage nach Bauleistungen kann den hohen Investitionsbedarf nicht decken</w:t>
      </w:r>
    </w:p>
    <w:p w14:paraId="168836F2" w14:textId="740A85F7" w:rsidR="009355B7" w:rsidRPr="00AA2FF2" w:rsidRDefault="009355B7" w:rsidP="009355B7">
      <w:pPr>
        <w:rPr>
          <w:rFonts w:ascii="TheSansOffice" w:hAnsi="TheSansOffice"/>
          <w:b/>
          <w:sz w:val="24"/>
          <w:szCs w:val="24"/>
        </w:rPr>
      </w:pPr>
      <w:r w:rsidRPr="00AA2FF2">
        <w:rPr>
          <w:rFonts w:ascii="TheSansOffice" w:hAnsi="TheSansOffice"/>
          <w:b/>
          <w:sz w:val="24"/>
          <w:szCs w:val="24"/>
        </w:rPr>
        <w:t>Gesamtentwicklung 2024/2025</w:t>
      </w:r>
    </w:p>
    <w:p w14:paraId="02B0A295" w14:textId="2D7A2580" w:rsidR="009355B7" w:rsidRPr="00AA2FF2" w:rsidRDefault="009355B7" w:rsidP="009355B7">
      <w:pPr>
        <w:rPr>
          <w:rFonts w:ascii="TheSansOffice" w:hAnsi="TheSansOffice"/>
          <w:sz w:val="24"/>
          <w:szCs w:val="24"/>
        </w:rPr>
      </w:pPr>
      <w:r w:rsidRPr="00AA2FF2">
        <w:rPr>
          <w:rFonts w:ascii="TheSansOffice" w:hAnsi="TheSansOffice"/>
          <w:sz w:val="24"/>
          <w:szCs w:val="24"/>
        </w:rPr>
        <w:t>Im</w:t>
      </w:r>
      <w:r w:rsidR="0051140C" w:rsidRPr="00AA2FF2">
        <w:rPr>
          <w:rFonts w:ascii="TheSansOffice" w:hAnsi="TheSansOffice"/>
          <w:sz w:val="24"/>
          <w:szCs w:val="24"/>
        </w:rPr>
        <w:t xml:space="preserve"> Verlauf des Jahres</w:t>
      </w:r>
      <w:r w:rsidRPr="00AA2FF2">
        <w:rPr>
          <w:rFonts w:ascii="TheSansOffice" w:hAnsi="TheSansOffice"/>
          <w:sz w:val="24"/>
          <w:szCs w:val="24"/>
        </w:rPr>
        <w:t xml:space="preserve"> 2024 </w:t>
      </w:r>
      <w:r w:rsidR="0051140C" w:rsidRPr="00AA2FF2">
        <w:rPr>
          <w:rFonts w:ascii="TheSansOffice" w:hAnsi="TheSansOffice"/>
          <w:sz w:val="24"/>
          <w:szCs w:val="24"/>
        </w:rPr>
        <w:t>zeigte sich</w:t>
      </w:r>
      <w:r w:rsidRPr="00AA2FF2">
        <w:rPr>
          <w:rFonts w:ascii="TheSansOffice" w:hAnsi="TheSansOffice"/>
          <w:sz w:val="24"/>
          <w:szCs w:val="24"/>
        </w:rPr>
        <w:t xml:space="preserve"> die Nachfrage nach Bauleistungen weiter schwach und rückläufig. Die Auftragsschwäche </w:t>
      </w:r>
      <w:r w:rsidR="0051140C" w:rsidRPr="00AA2FF2">
        <w:rPr>
          <w:rFonts w:ascii="TheSansOffice" w:hAnsi="TheSansOffice"/>
          <w:sz w:val="24"/>
          <w:szCs w:val="24"/>
        </w:rPr>
        <w:t xml:space="preserve">erfasst mittlerweile </w:t>
      </w:r>
      <w:r w:rsidRPr="00AA2FF2">
        <w:rPr>
          <w:rFonts w:ascii="TheSansOffice" w:hAnsi="TheSansOffice"/>
          <w:sz w:val="24"/>
          <w:szCs w:val="24"/>
        </w:rPr>
        <w:t>alle Bausparten</w:t>
      </w:r>
      <w:r w:rsidR="0051140C" w:rsidRPr="00AA2FF2">
        <w:rPr>
          <w:rFonts w:ascii="TheSansOffice" w:hAnsi="TheSansOffice"/>
          <w:sz w:val="24"/>
          <w:szCs w:val="24"/>
        </w:rPr>
        <w:t>.</w:t>
      </w:r>
      <w:r w:rsidRPr="00AA2FF2">
        <w:rPr>
          <w:rFonts w:ascii="TheSansOffice" w:hAnsi="TheSansOffice"/>
          <w:sz w:val="24"/>
          <w:szCs w:val="24"/>
        </w:rPr>
        <w:t xml:space="preserve"> </w:t>
      </w:r>
      <w:r w:rsidR="0051140C" w:rsidRPr="00AA2FF2">
        <w:rPr>
          <w:rFonts w:ascii="TheSansOffice" w:hAnsi="TheSansOffice"/>
          <w:sz w:val="24"/>
          <w:szCs w:val="24"/>
        </w:rPr>
        <w:t>N</w:t>
      </w:r>
      <w:r w:rsidRPr="00AA2FF2">
        <w:rPr>
          <w:rFonts w:ascii="TheSansOffice" w:hAnsi="TheSansOffice"/>
          <w:sz w:val="24"/>
          <w:szCs w:val="24"/>
        </w:rPr>
        <w:t xml:space="preserve">ach dem Wohnungsbau </w:t>
      </w:r>
      <w:r w:rsidR="0051140C" w:rsidRPr="00AA2FF2">
        <w:rPr>
          <w:rFonts w:ascii="TheSansOffice" w:hAnsi="TheSansOffice"/>
          <w:sz w:val="24"/>
          <w:szCs w:val="24"/>
        </w:rPr>
        <w:t xml:space="preserve">belastet </w:t>
      </w:r>
      <w:r w:rsidRPr="00AA2FF2">
        <w:rPr>
          <w:rFonts w:ascii="TheSansOffice" w:hAnsi="TheSansOffice"/>
          <w:sz w:val="24"/>
          <w:szCs w:val="24"/>
        </w:rPr>
        <w:t xml:space="preserve">nun </w:t>
      </w:r>
      <w:r w:rsidR="0051140C" w:rsidRPr="00AA2FF2">
        <w:rPr>
          <w:rFonts w:ascii="TheSansOffice" w:hAnsi="TheSansOffice"/>
          <w:sz w:val="24"/>
          <w:szCs w:val="24"/>
        </w:rPr>
        <w:t xml:space="preserve">auch </w:t>
      </w:r>
      <w:r w:rsidRPr="00AA2FF2">
        <w:rPr>
          <w:rFonts w:ascii="TheSansOffice" w:hAnsi="TheSansOffice"/>
          <w:sz w:val="24"/>
          <w:szCs w:val="24"/>
        </w:rPr>
        <w:t xml:space="preserve">die </w:t>
      </w:r>
      <w:r w:rsidR="0051140C" w:rsidRPr="00AA2FF2">
        <w:rPr>
          <w:rFonts w:ascii="TheSansOffice" w:hAnsi="TheSansOffice"/>
          <w:sz w:val="24"/>
          <w:szCs w:val="24"/>
        </w:rPr>
        <w:t>konjunkturelle Schwäche</w:t>
      </w:r>
      <w:r w:rsidRPr="00AA2FF2">
        <w:rPr>
          <w:rFonts w:ascii="TheSansOffice" w:hAnsi="TheSansOffice"/>
          <w:sz w:val="24"/>
          <w:szCs w:val="24"/>
        </w:rPr>
        <w:t xml:space="preserve"> der verarbeitenden Industrie zunehmend den Wirtschaftshochbau. Seit 2021 sind die </w:t>
      </w:r>
      <w:r w:rsidR="0051140C" w:rsidRPr="00AA2FF2">
        <w:rPr>
          <w:rFonts w:ascii="TheSansOffice" w:hAnsi="TheSansOffice"/>
          <w:sz w:val="24"/>
          <w:szCs w:val="24"/>
        </w:rPr>
        <w:t xml:space="preserve">Auftragseingänge </w:t>
      </w:r>
      <w:r w:rsidRPr="00AA2FF2">
        <w:rPr>
          <w:rFonts w:ascii="TheSansOffice" w:hAnsi="TheSansOffice"/>
          <w:sz w:val="24"/>
          <w:szCs w:val="24"/>
        </w:rPr>
        <w:t>im Bauhauptgewerbe real um 13 Prozent zurückgegangen.</w:t>
      </w:r>
    </w:p>
    <w:p w14:paraId="4D59D83D" w14:textId="68C2BAFC"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Wenn die Autoindustrie im Strukturumbruch feststeckt, wenn Thyssen, Bosch, </w:t>
      </w:r>
      <w:r w:rsidR="00784F32" w:rsidRPr="00AA2FF2">
        <w:rPr>
          <w:rFonts w:ascii="TheSansOffice" w:hAnsi="TheSansOffice"/>
          <w:sz w:val="24"/>
          <w:szCs w:val="24"/>
        </w:rPr>
        <w:t>VW</w:t>
      </w:r>
      <w:r w:rsidRPr="00AA2FF2">
        <w:rPr>
          <w:rFonts w:ascii="TheSansOffice" w:hAnsi="TheSansOffice"/>
          <w:sz w:val="24"/>
          <w:szCs w:val="24"/>
        </w:rPr>
        <w:t xml:space="preserve"> und andere Industrieunternehmen Kapazitäten herunterfahren, wenn das Intel-Werk bei Magdeburg nicht an den Start kommt, dann hat das hohes Rückschlagpotential für Bauprojekte. </w:t>
      </w:r>
      <w:r w:rsidR="0051140C" w:rsidRPr="00AA2FF2">
        <w:rPr>
          <w:rFonts w:ascii="TheSansOffice" w:hAnsi="TheSansOffice"/>
          <w:sz w:val="24"/>
          <w:szCs w:val="24"/>
        </w:rPr>
        <w:t xml:space="preserve">Der </w:t>
      </w:r>
      <w:r w:rsidR="007D5D0C" w:rsidRPr="00AA2FF2">
        <w:rPr>
          <w:rFonts w:ascii="TheSansOffice" w:hAnsi="TheSansOffice"/>
          <w:sz w:val="24"/>
          <w:szCs w:val="24"/>
        </w:rPr>
        <w:t xml:space="preserve">Wirtschaftshochbau kann so kaum noch als </w:t>
      </w:r>
      <w:r w:rsidRPr="00AA2FF2">
        <w:rPr>
          <w:rFonts w:ascii="TheSansOffice" w:hAnsi="TheSansOffice"/>
          <w:sz w:val="24"/>
          <w:szCs w:val="24"/>
        </w:rPr>
        <w:t xml:space="preserve">Ausweichgeschäftsfeld für den seit drei Jahren schwächelnden Wohnungsbau </w:t>
      </w:r>
      <w:r w:rsidR="007D5D0C" w:rsidRPr="00AA2FF2">
        <w:rPr>
          <w:rFonts w:ascii="TheSansOffice" w:hAnsi="TheSansOffice"/>
          <w:sz w:val="24"/>
          <w:szCs w:val="24"/>
        </w:rPr>
        <w:t>dienen</w:t>
      </w:r>
      <w:r w:rsidRPr="00AA2FF2">
        <w:rPr>
          <w:rFonts w:ascii="TheSansOffice" w:hAnsi="TheSansOffice"/>
          <w:sz w:val="24"/>
          <w:szCs w:val="24"/>
        </w:rPr>
        <w:t xml:space="preserve">. </w:t>
      </w:r>
    </w:p>
    <w:p w14:paraId="0AC97927" w14:textId="5AB39061"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Konjunkturentwicklung im Bauhauptgewerbe bleibt </w:t>
      </w:r>
      <w:r w:rsidR="007D5D0C" w:rsidRPr="00AA2FF2">
        <w:rPr>
          <w:rFonts w:ascii="TheSansOffice" w:hAnsi="TheSansOffice"/>
          <w:sz w:val="24"/>
          <w:szCs w:val="24"/>
        </w:rPr>
        <w:t>gespalten</w:t>
      </w:r>
      <w:r w:rsidRPr="00AA2FF2">
        <w:rPr>
          <w:rFonts w:ascii="TheSansOffice" w:hAnsi="TheSansOffice"/>
          <w:sz w:val="24"/>
          <w:szCs w:val="24"/>
        </w:rPr>
        <w:t xml:space="preserve">. </w:t>
      </w:r>
      <w:r w:rsidR="007D5D0C" w:rsidRPr="00AA2FF2">
        <w:rPr>
          <w:rFonts w:ascii="TheSansOffice" w:hAnsi="TheSansOffice"/>
          <w:sz w:val="24"/>
          <w:szCs w:val="24"/>
        </w:rPr>
        <w:t>Während Wohnungsbau und Wirtschaftshochbau mit e</w:t>
      </w:r>
      <w:r w:rsidRPr="00AA2FF2">
        <w:rPr>
          <w:rFonts w:ascii="TheSansOffice" w:hAnsi="TheSansOffice"/>
          <w:sz w:val="24"/>
          <w:szCs w:val="24"/>
        </w:rPr>
        <w:t xml:space="preserve">iner verfestigten Nachfrageschwäche </w:t>
      </w:r>
      <w:r w:rsidR="007D5D0C" w:rsidRPr="00AA2FF2">
        <w:rPr>
          <w:rFonts w:ascii="TheSansOffice" w:hAnsi="TheSansOffice"/>
          <w:sz w:val="24"/>
          <w:szCs w:val="24"/>
        </w:rPr>
        <w:t xml:space="preserve">kämpfen, profitiert der Wirtschaftstiefbau von der Dynamik der Energie- und Mobilitätswende. Investitionen in Stromtrassen, das Schienennetz, den Breitbandausbau und den öffentlichen Nahverkehr bieten hier nachhaltige Impulse. </w:t>
      </w:r>
    </w:p>
    <w:p w14:paraId="6E39813E" w14:textId="3F6D9822"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Wir erwarten für 2024 einen </w:t>
      </w:r>
      <w:r w:rsidRPr="00AA2FF2">
        <w:rPr>
          <w:rFonts w:ascii="TheSansOffice" w:hAnsi="TheSansOffice"/>
          <w:i/>
          <w:sz w:val="24"/>
          <w:szCs w:val="24"/>
        </w:rPr>
        <w:t>Umsatz im Bauhauptgewerbe</w:t>
      </w:r>
      <w:r w:rsidRPr="00AA2FF2">
        <w:rPr>
          <w:rFonts w:ascii="TheSansOffice" w:hAnsi="TheSansOffice"/>
          <w:sz w:val="24"/>
          <w:szCs w:val="24"/>
        </w:rPr>
        <w:t xml:space="preserve"> von knapp 160 Mrd. Euro. Dies entspricht </w:t>
      </w:r>
      <w:r w:rsidR="007D5D0C" w:rsidRPr="00AA2FF2">
        <w:rPr>
          <w:rFonts w:ascii="TheSansOffice" w:hAnsi="TheSansOffice"/>
          <w:sz w:val="24"/>
          <w:szCs w:val="24"/>
        </w:rPr>
        <w:t xml:space="preserve">einem </w:t>
      </w:r>
      <w:r w:rsidRPr="00AA2FF2">
        <w:rPr>
          <w:rFonts w:ascii="TheSansOffice" w:hAnsi="TheSansOffice"/>
          <w:sz w:val="24"/>
          <w:szCs w:val="24"/>
        </w:rPr>
        <w:t>nominal</w:t>
      </w:r>
      <w:r w:rsidR="007D5D0C" w:rsidRPr="00AA2FF2">
        <w:rPr>
          <w:rFonts w:ascii="TheSansOffice" w:hAnsi="TheSansOffice"/>
          <w:sz w:val="24"/>
          <w:szCs w:val="24"/>
        </w:rPr>
        <w:t>en</w:t>
      </w:r>
      <w:r w:rsidRPr="00AA2FF2">
        <w:rPr>
          <w:rFonts w:ascii="TheSansOffice" w:hAnsi="TheSansOffice"/>
          <w:sz w:val="24"/>
          <w:szCs w:val="24"/>
        </w:rPr>
        <w:t xml:space="preserve"> Rückgang </w:t>
      </w:r>
      <w:r w:rsidR="007D5D0C" w:rsidRPr="00AA2FF2">
        <w:rPr>
          <w:rFonts w:ascii="TheSansOffice" w:hAnsi="TheSansOffice"/>
          <w:sz w:val="24"/>
          <w:szCs w:val="24"/>
        </w:rPr>
        <w:t>von</w:t>
      </w:r>
      <w:r w:rsidRPr="00AA2FF2">
        <w:rPr>
          <w:rFonts w:ascii="TheSansOffice" w:hAnsi="TheSansOffice"/>
          <w:sz w:val="24"/>
          <w:szCs w:val="24"/>
        </w:rPr>
        <w:t xml:space="preserve"> 2 Prozent, </w:t>
      </w:r>
      <w:r w:rsidR="006255E9" w:rsidRPr="00AA2FF2">
        <w:rPr>
          <w:rFonts w:ascii="TheSansOffice" w:hAnsi="TheSansOffice"/>
          <w:sz w:val="24"/>
          <w:szCs w:val="24"/>
        </w:rPr>
        <w:t xml:space="preserve">unter Herausrechnung der Preisentwicklung einem realen Minus von 4 Prozent. </w:t>
      </w:r>
      <w:r w:rsidRPr="00AA2FF2">
        <w:rPr>
          <w:rFonts w:ascii="TheSansOffice" w:hAnsi="TheSansOffice"/>
          <w:sz w:val="24"/>
          <w:szCs w:val="24"/>
        </w:rPr>
        <w:t xml:space="preserve">2025 </w:t>
      </w:r>
      <w:r w:rsidR="007D5D0C" w:rsidRPr="00AA2FF2">
        <w:rPr>
          <w:rFonts w:ascii="TheSansOffice" w:hAnsi="TheSansOffice"/>
          <w:sz w:val="24"/>
          <w:szCs w:val="24"/>
        </w:rPr>
        <w:t xml:space="preserve">wird voraussichtlich das fünfte Jahr in Folge mit realen Umsatzverlusten: </w:t>
      </w:r>
      <w:r w:rsidR="006976EE" w:rsidRPr="00AA2FF2">
        <w:rPr>
          <w:rFonts w:ascii="TheSansOffice" w:hAnsi="TheSansOffice"/>
          <w:sz w:val="24"/>
          <w:szCs w:val="24"/>
        </w:rPr>
        <w:t>Bei einem konstanten Umsatz von</w:t>
      </w:r>
      <w:r w:rsidR="008C41A8" w:rsidRPr="00AA2FF2">
        <w:rPr>
          <w:rFonts w:ascii="TheSansOffice" w:hAnsi="TheSansOffice"/>
          <w:sz w:val="24"/>
          <w:szCs w:val="24"/>
        </w:rPr>
        <w:t xml:space="preserve"> 160 Milliarden Euro führt eine prognostizierte Preissteigerung von 2,5 Prozent für Bauleistungen zu einem realen Rückgang von</w:t>
      </w:r>
      <w:r w:rsidR="006976EE" w:rsidRPr="00AA2FF2">
        <w:rPr>
          <w:rFonts w:ascii="TheSansOffice" w:hAnsi="TheSansOffice"/>
          <w:sz w:val="24"/>
          <w:szCs w:val="24"/>
        </w:rPr>
        <w:t xml:space="preserve"> </w:t>
      </w:r>
      <w:r w:rsidR="008C41A8" w:rsidRPr="00AA2FF2">
        <w:rPr>
          <w:rFonts w:ascii="TheSansOffice" w:hAnsi="TheSansOffice"/>
          <w:sz w:val="24"/>
          <w:szCs w:val="24"/>
        </w:rPr>
        <w:t xml:space="preserve">2,5 Prozent. </w:t>
      </w:r>
    </w:p>
    <w:p w14:paraId="78E6214A" w14:textId="318643BB" w:rsidR="00135DC8" w:rsidRPr="00AA2FF2" w:rsidRDefault="00135DC8">
      <w:pPr>
        <w:rPr>
          <w:rFonts w:ascii="TheSansOffice" w:hAnsi="TheSansOffice"/>
          <w:sz w:val="24"/>
          <w:szCs w:val="24"/>
        </w:rPr>
      </w:pPr>
      <w:r w:rsidRPr="00AA2FF2">
        <w:rPr>
          <w:rFonts w:ascii="TheSansOffice" w:hAnsi="TheSansOffice"/>
          <w:sz w:val="24"/>
          <w:szCs w:val="24"/>
        </w:rPr>
        <w:br w:type="page"/>
      </w:r>
    </w:p>
    <w:p w14:paraId="06E1301C" w14:textId="77777777" w:rsidR="006976EE" w:rsidRPr="00AA2FF2" w:rsidRDefault="006976EE" w:rsidP="009355B7">
      <w:pPr>
        <w:rPr>
          <w:rFonts w:ascii="TheSansOffice" w:hAnsi="TheSansOffice"/>
          <w:sz w:val="24"/>
          <w:szCs w:val="24"/>
        </w:rPr>
      </w:pPr>
    </w:p>
    <w:p w14:paraId="11C98C38" w14:textId="77777777" w:rsidR="00135DC8" w:rsidRPr="00AA2FF2" w:rsidRDefault="00135DC8" w:rsidP="00135DC8">
      <w:pPr>
        <w:spacing w:after="120"/>
        <w:rPr>
          <w:rFonts w:ascii="TheSansOffice" w:hAnsi="TheSansOffice"/>
        </w:rPr>
      </w:pPr>
      <w:r w:rsidRPr="00AA2FF2">
        <w:rPr>
          <w:rFonts w:ascii="TheSansOffice" w:hAnsi="TheSansOffice"/>
          <w:b/>
          <w:bCs/>
        </w:rPr>
        <w:t>Tabelle 1: Entwicklung der baugewerblichen Umsätze im BHG</w:t>
      </w:r>
    </w:p>
    <w:tbl>
      <w:tblPr>
        <w:tblStyle w:val="Tabellenraster"/>
        <w:tblW w:w="10257" w:type="dxa"/>
        <w:tblLayout w:type="fixed"/>
        <w:tblLook w:val="04A0" w:firstRow="1" w:lastRow="0" w:firstColumn="1" w:lastColumn="0" w:noHBand="0" w:noVBand="1"/>
      </w:tblPr>
      <w:tblGrid>
        <w:gridCol w:w="1713"/>
        <w:gridCol w:w="1052"/>
        <w:gridCol w:w="873"/>
        <w:gridCol w:w="872"/>
        <w:gridCol w:w="1053"/>
        <w:gridCol w:w="945"/>
        <w:gridCol w:w="980"/>
        <w:gridCol w:w="1054"/>
        <w:gridCol w:w="860"/>
        <w:gridCol w:w="834"/>
        <w:gridCol w:w="21"/>
      </w:tblGrid>
      <w:tr w:rsidR="00135DC8" w:rsidRPr="00AA2FF2" w14:paraId="6D580BA5" w14:textId="77777777" w:rsidTr="00135DC8">
        <w:tc>
          <w:tcPr>
            <w:tcW w:w="1713" w:type="dxa"/>
            <w:vMerge w:val="restart"/>
            <w:shd w:val="clear" w:color="auto" w:fill="auto"/>
          </w:tcPr>
          <w:p w14:paraId="3BA024FF" w14:textId="77777777" w:rsidR="00135DC8" w:rsidRPr="00AA2FF2" w:rsidRDefault="00135DC8" w:rsidP="00401E83">
            <w:pPr>
              <w:jc w:val="center"/>
              <w:rPr>
                <w:rFonts w:ascii="TheSansOffice" w:hAnsi="TheSansOffice" w:cstheme="minorHAnsi"/>
              </w:rPr>
            </w:pPr>
          </w:p>
        </w:tc>
        <w:tc>
          <w:tcPr>
            <w:tcW w:w="2797" w:type="dxa"/>
            <w:gridSpan w:val="3"/>
            <w:shd w:val="clear" w:color="auto" w:fill="auto"/>
          </w:tcPr>
          <w:p w14:paraId="09B821B5" w14:textId="77777777" w:rsidR="00135DC8" w:rsidRPr="00AA2FF2" w:rsidRDefault="00135DC8" w:rsidP="00401E83">
            <w:pPr>
              <w:jc w:val="center"/>
              <w:rPr>
                <w:rFonts w:ascii="TheSansOffice" w:hAnsi="TheSansOffice" w:cstheme="minorHAnsi"/>
                <w:b/>
                <w:bCs/>
              </w:rPr>
            </w:pPr>
            <w:r w:rsidRPr="00AA2FF2">
              <w:rPr>
                <w:rFonts w:ascii="TheSansOffice" w:hAnsi="TheSansOffice" w:cstheme="minorHAnsi"/>
                <w:b/>
                <w:bCs/>
              </w:rPr>
              <w:t>2023</w:t>
            </w:r>
          </w:p>
          <w:p w14:paraId="77F1D2C6" w14:textId="77777777" w:rsidR="00135DC8" w:rsidRPr="00AA2FF2" w:rsidRDefault="00135DC8" w:rsidP="00401E83">
            <w:pPr>
              <w:jc w:val="center"/>
              <w:rPr>
                <w:rFonts w:ascii="TheSansOffice" w:hAnsi="TheSansOffice" w:cstheme="minorHAnsi"/>
                <w:b/>
                <w:bCs/>
              </w:rPr>
            </w:pPr>
            <w:r w:rsidRPr="00AA2FF2">
              <w:rPr>
                <w:rFonts w:ascii="TheSansOffice" w:hAnsi="TheSansOffice" w:cstheme="minorHAnsi"/>
                <w:b/>
                <w:bCs/>
              </w:rPr>
              <w:t>(IST)</w:t>
            </w:r>
          </w:p>
        </w:tc>
        <w:tc>
          <w:tcPr>
            <w:tcW w:w="2978" w:type="dxa"/>
            <w:gridSpan w:val="3"/>
            <w:shd w:val="clear" w:color="auto" w:fill="auto"/>
          </w:tcPr>
          <w:p w14:paraId="132FF4B6" w14:textId="77777777" w:rsidR="00135DC8" w:rsidRPr="00AA2FF2" w:rsidRDefault="00135DC8" w:rsidP="00401E83">
            <w:pPr>
              <w:spacing w:before="120"/>
              <w:jc w:val="center"/>
              <w:rPr>
                <w:rFonts w:ascii="TheSansOffice" w:hAnsi="TheSansOffice" w:cstheme="minorHAnsi"/>
                <w:b/>
                <w:bCs/>
              </w:rPr>
            </w:pPr>
            <w:r w:rsidRPr="00AA2FF2">
              <w:rPr>
                <w:rFonts w:ascii="TheSansOffice" w:hAnsi="TheSansOffice" w:cstheme="minorHAnsi"/>
                <w:b/>
                <w:bCs/>
              </w:rPr>
              <w:t>Prognose ZDB 2024</w:t>
            </w:r>
          </w:p>
        </w:tc>
        <w:tc>
          <w:tcPr>
            <w:tcW w:w="2769" w:type="dxa"/>
            <w:gridSpan w:val="4"/>
            <w:shd w:val="clear" w:color="auto" w:fill="auto"/>
          </w:tcPr>
          <w:p w14:paraId="31CBAA7B" w14:textId="77777777" w:rsidR="00135DC8" w:rsidRPr="00AA2FF2" w:rsidRDefault="00135DC8" w:rsidP="00401E83">
            <w:pPr>
              <w:spacing w:before="120"/>
              <w:jc w:val="center"/>
              <w:rPr>
                <w:rFonts w:ascii="TheSansOffice" w:hAnsi="TheSansOffice" w:cstheme="minorHAnsi"/>
                <w:b/>
                <w:bCs/>
              </w:rPr>
            </w:pPr>
            <w:r w:rsidRPr="00AA2FF2">
              <w:rPr>
                <w:rFonts w:ascii="TheSansOffice" w:hAnsi="TheSansOffice" w:cstheme="minorHAnsi"/>
                <w:b/>
                <w:bCs/>
              </w:rPr>
              <w:t>Prognose ZDB 2025</w:t>
            </w:r>
          </w:p>
        </w:tc>
      </w:tr>
      <w:tr w:rsidR="00135DC8" w:rsidRPr="00AA2FF2" w14:paraId="119EBC8A" w14:textId="77777777" w:rsidTr="00135DC8">
        <w:trPr>
          <w:gridAfter w:val="1"/>
          <w:wAfter w:w="21" w:type="dxa"/>
        </w:trPr>
        <w:tc>
          <w:tcPr>
            <w:tcW w:w="1713" w:type="dxa"/>
            <w:vMerge/>
            <w:shd w:val="clear" w:color="auto" w:fill="auto"/>
          </w:tcPr>
          <w:p w14:paraId="65C3A669" w14:textId="77777777" w:rsidR="00135DC8" w:rsidRPr="00AA2FF2" w:rsidRDefault="00135DC8" w:rsidP="00401E83">
            <w:pPr>
              <w:spacing w:line="276" w:lineRule="auto"/>
              <w:jc w:val="center"/>
              <w:rPr>
                <w:rFonts w:ascii="TheSansOffice" w:hAnsi="TheSansOffice" w:cstheme="minorHAnsi"/>
              </w:rPr>
            </w:pPr>
          </w:p>
        </w:tc>
        <w:tc>
          <w:tcPr>
            <w:tcW w:w="1052" w:type="dxa"/>
            <w:shd w:val="clear" w:color="auto" w:fill="auto"/>
          </w:tcPr>
          <w:p w14:paraId="1DD3F286" w14:textId="1558E578" w:rsidR="00135DC8" w:rsidRPr="00AA2FF2" w:rsidRDefault="00BF07DD" w:rsidP="00401E83">
            <w:pPr>
              <w:spacing w:before="120" w:line="276" w:lineRule="auto"/>
              <w:jc w:val="center"/>
              <w:rPr>
                <w:rFonts w:ascii="TheSansOffice" w:hAnsi="TheSansOffice" w:cstheme="minorHAnsi"/>
              </w:rPr>
            </w:pPr>
            <w:r w:rsidRPr="00AA2FF2">
              <w:rPr>
                <w:rFonts w:ascii="TheSansOffice" w:hAnsi="TheSansOffice" w:cstheme="minorHAnsi"/>
              </w:rPr>
              <w:t>Mio.</w:t>
            </w:r>
            <w:r w:rsidR="00135DC8" w:rsidRPr="00AA2FF2">
              <w:rPr>
                <w:rFonts w:ascii="TheSansOffice" w:hAnsi="TheSansOffice" w:cstheme="minorHAnsi"/>
              </w:rPr>
              <w:t xml:space="preserve"> €</w:t>
            </w:r>
          </w:p>
        </w:tc>
        <w:tc>
          <w:tcPr>
            <w:tcW w:w="873" w:type="dxa"/>
            <w:shd w:val="clear" w:color="auto" w:fill="auto"/>
          </w:tcPr>
          <w:p w14:paraId="46E3D886" w14:textId="195FCB80" w:rsidR="00135DC8" w:rsidRPr="00AA2FF2" w:rsidRDefault="00135DC8" w:rsidP="00135DC8">
            <w:pPr>
              <w:jc w:val="center"/>
              <w:rPr>
                <w:rFonts w:ascii="TheSansOffice" w:hAnsi="TheSansOffice" w:cstheme="minorHAnsi"/>
              </w:rPr>
            </w:pPr>
            <w:proofErr w:type="spellStart"/>
            <w:r w:rsidRPr="00AA2FF2">
              <w:rPr>
                <w:rFonts w:ascii="TheSansOffice" w:hAnsi="TheSansOffice" w:cstheme="minorHAnsi"/>
              </w:rPr>
              <w:t>nom</w:t>
            </w:r>
            <w:proofErr w:type="spellEnd"/>
            <w:r w:rsidRPr="00AA2FF2">
              <w:rPr>
                <w:rFonts w:ascii="TheSansOffice" w:hAnsi="TheSansOffice" w:cstheme="minorHAnsi"/>
              </w:rPr>
              <w:t xml:space="preserve">. z. </w:t>
            </w:r>
            <w:proofErr w:type="spellStart"/>
            <w:r w:rsidRPr="00AA2FF2">
              <w:rPr>
                <w:rFonts w:ascii="TheSansOffice" w:hAnsi="TheSansOffice" w:cstheme="minorHAnsi"/>
              </w:rPr>
              <w:t>Vj</w:t>
            </w:r>
            <w:proofErr w:type="spellEnd"/>
            <w:r w:rsidRPr="00AA2FF2">
              <w:rPr>
                <w:rFonts w:ascii="TheSansOffice" w:hAnsi="TheSansOffice" w:cstheme="minorHAnsi"/>
              </w:rPr>
              <w:t>.</w:t>
            </w:r>
          </w:p>
        </w:tc>
        <w:tc>
          <w:tcPr>
            <w:tcW w:w="872" w:type="dxa"/>
            <w:shd w:val="clear" w:color="auto" w:fill="auto"/>
          </w:tcPr>
          <w:p w14:paraId="2DF656DC" w14:textId="751BCFA2" w:rsidR="00135DC8" w:rsidRPr="00AA2FF2" w:rsidRDefault="00135DC8" w:rsidP="00401E83">
            <w:pPr>
              <w:jc w:val="center"/>
              <w:rPr>
                <w:rFonts w:ascii="TheSansOffice" w:hAnsi="TheSansOffice" w:cstheme="minorHAnsi"/>
              </w:rPr>
            </w:pPr>
            <w:r w:rsidRPr="00AA2FF2">
              <w:rPr>
                <w:rFonts w:ascii="TheSansOffice" w:hAnsi="TheSansOffice" w:cstheme="minorHAnsi"/>
              </w:rPr>
              <w:t xml:space="preserve">real z. </w:t>
            </w:r>
            <w:proofErr w:type="spellStart"/>
            <w:r w:rsidRPr="00AA2FF2">
              <w:rPr>
                <w:rFonts w:ascii="TheSansOffice" w:hAnsi="TheSansOffice" w:cstheme="minorHAnsi"/>
              </w:rPr>
              <w:t>Vj</w:t>
            </w:r>
            <w:proofErr w:type="spellEnd"/>
            <w:r w:rsidRPr="00AA2FF2">
              <w:rPr>
                <w:rFonts w:ascii="TheSansOffice" w:hAnsi="TheSansOffice" w:cstheme="minorHAnsi"/>
              </w:rPr>
              <w:t>.</w:t>
            </w:r>
          </w:p>
        </w:tc>
        <w:tc>
          <w:tcPr>
            <w:tcW w:w="1053" w:type="dxa"/>
            <w:shd w:val="clear" w:color="auto" w:fill="auto"/>
          </w:tcPr>
          <w:p w14:paraId="5E6F0904" w14:textId="39CB98CA" w:rsidR="00135DC8" w:rsidRPr="00AA2FF2" w:rsidRDefault="00BF07DD" w:rsidP="00401E83">
            <w:pPr>
              <w:spacing w:before="120" w:line="276" w:lineRule="auto"/>
              <w:jc w:val="center"/>
              <w:rPr>
                <w:rFonts w:ascii="TheSansOffice" w:hAnsi="TheSansOffice" w:cstheme="minorHAnsi"/>
              </w:rPr>
            </w:pPr>
            <w:r w:rsidRPr="00AA2FF2">
              <w:rPr>
                <w:rFonts w:ascii="TheSansOffice" w:hAnsi="TheSansOffice" w:cstheme="minorHAnsi"/>
              </w:rPr>
              <w:t>Mio.</w:t>
            </w:r>
            <w:r w:rsidR="00135DC8" w:rsidRPr="00AA2FF2">
              <w:rPr>
                <w:rFonts w:ascii="TheSansOffice" w:hAnsi="TheSansOffice" w:cstheme="minorHAnsi"/>
              </w:rPr>
              <w:t xml:space="preserve"> €</w:t>
            </w:r>
          </w:p>
        </w:tc>
        <w:tc>
          <w:tcPr>
            <w:tcW w:w="945" w:type="dxa"/>
            <w:shd w:val="clear" w:color="auto" w:fill="auto"/>
          </w:tcPr>
          <w:p w14:paraId="4666A9D2" w14:textId="0B0EB61C" w:rsidR="00135DC8" w:rsidRPr="00AA2FF2" w:rsidRDefault="00135DC8" w:rsidP="00135DC8">
            <w:pPr>
              <w:jc w:val="center"/>
              <w:rPr>
                <w:rFonts w:ascii="TheSansOffice" w:hAnsi="TheSansOffice" w:cstheme="minorHAnsi"/>
              </w:rPr>
            </w:pPr>
            <w:proofErr w:type="spellStart"/>
            <w:r w:rsidRPr="00AA2FF2">
              <w:rPr>
                <w:rFonts w:ascii="TheSansOffice" w:hAnsi="TheSansOffice" w:cstheme="minorHAnsi"/>
              </w:rPr>
              <w:t>nom</w:t>
            </w:r>
            <w:proofErr w:type="spellEnd"/>
            <w:r w:rsidRPr="00AA2FF2">
              <w:rPr>
                <w:rFonts w:ascii="TheSansOffice" w:hAnsi="TheSansOffice" w:cstheme="minorHAnsi"/>
              </w:rPr>
              <w:t xml:space="preserve">. z. </w:t>
            </w:r>
            <w:proofErr w:type="spellStart"/>
            <w:r w:rsidRPr="00AA2FF2">
              <w:rPr>
                <w:rFonts w:ascii="TheSansOffice" w:hAnsi="TheSansOffice" w:cstheme="minorHAnsi"/>
              </w:rPr>
              <w:t>Vj</w:t>
            </w:r>
            <w:proofErr w:type="spellEnd"/>
            <w:r w:rsidRPr="00AA2FF2">
              <w:rPr>
                <w:rFonts w:ascii="TheSansOffice" w:hAnsi="TheSansOffice" w:cstheme="minorHAnsi"/>
              </w:rPr>
              <w:t>.</w:t>
            </w:r>
          </w:p>
        </w:tc>
        <w:tc>
          <w:tcPr>
            <w:tcW w:w="980" w:type="dxa"/>
            <w:shd w:val="clear" w:color="auto" w:fill="auto"/>
          </w:tcPr>
          <w:p w14:paraId="6B8DB028" w14:textId="4E6D0406" w:rsidR="00135DC8" w:rsidRPr="00AA2FF2" w:rsidRDefault="00135DC8" w:rsidP="00401E83">
            <w:pPr>
              <w:jc w:val="center"/>
              <w:rPr>
                <w:rFonts w:ascii="TheSansOffice" w:hAnsi="TheSansOffice" w:cstheme="minorHAnsi"/>
              </w:rPr>
            </w:pPr>
            <w:r w:rsidRPr="00AA2FF2">
              <w:rPr>
                <w:rFonts w:ascii="TheSansOffice" w:hAnsi="TheSansOffice" w:cstheme="minorHAnsi"/>
              </w:rPr>
              <w:t xml:space="preserve">real z. </w:t>
            </w:r>
            <w:proofErr w:type="spellStart"/>
            <w:r w:rsidRPr="00AA2FF2">
              <w:rPr>
                <w:rFonts w:ascii="TheSansOffice" w:hAnsi="TheSansOffice" w:cstheme="minorHAnsi"/>
              </w:rPr>
              <w:t>Vj</w:t>
            </w:r>
            <w:proofErr w:type="spellEnd"/>
            <w:r w:rsidRPr="00AA2FF2">
              <w:rPr>
                <w:rFonts w:ascii="TheSansOffice" w:hAnsi="TheSansOffice" w:cstheme="minorHAnsi"/>
              </w:rPr>
              <w:t>.</w:t>
            </w:r>
          </w:p>
        </w:tc>
        <w:tc>
          <w:tcPr>
            <w:tcW w:w="1054" w:type="dxa"/>
            <w:shd w:val="clear" w:color="auto" w:fill="auto"/>
          </w:tcPr>
          <w:p w14:paraId="35ABEAB0" w14:textId="6B1C237B" w:rsidR="00135DC8" w:rsidRPr="00AA2FF2" w:rsidRDefault="00BF07DD" w:rsidP="00401E83">
            <w:pPr>
              <w:spacing w:before="120" w:line="276" w:lineRule="auto"/>
              <w:jc w:val="center"/>
              <w:rPr>
                <w:rFonts w:ascii="TheSansOffice" w:hAnsi="TheSansOffice" w:cstheme="minorHAnsi"/>
              </w:rPr>
            </w:pPr>
            <w:r w:rsidRPr="00AA2FF2">
              <w:rPr>
                <w:rFonts w:ascii="TheSansOffice" w:hAnsi="TheSansOffice" w:cstheme="minorHAnsi"/>
              </w:rPr>
              <w:t>Mio.</w:t>
            </w:r>
            <w:r w:rsidR="00135DC8" w:rsidRPr="00AA2FF2">
              <w:rPr>
                <w:rFonts w:ascii="TheSansOffice" w:hAnsi="TheSansOffice" w:cstheme="minorHAnsi"/>
              </w:rPr>
              <w:t xml:space="preserve"> €</w:t>
            </w:r>
          </w:p>
        </w:tc>
        <w:tc>
          <w:tcPr>
            <w:tcW w:w="860" w:type="dxa"/>
            <w:shd w:val="clear" w:color="auto" w:fill="auto"/>
          </w:tcPr>
          <w:p w14:paraId="1F573B08" w14:textId="11B64AC9" w:rsidR="00135DC8" w:rsidRPr="00AA2FF2" w:rsidRDefault="00135DC8" w:rsidP="00401E83">
            <w:pPr>
              <w:jc w:val="center"/>
              <w:rPr>
                <w:rFonts w:ascii="TheSansOffice" w:hAnsi="TheSansOffice" w:cstheme="minorHAnsi"/>
              </w:rPr>
            </w:pPr>
            <w:proofErr w:type="spellStart"/>
            <w:r w:rsidRPr="00AA2FF2">
              <w:rPr>
                <w:rFonts w:ascii="TheSansOffice" w:hAnsi="TheSansOffice" w:cstheme="minorHAnsi"/>
              </w:rPr>
              <w:t>nom</w:t>
            </w:r>
            <w:proofErr w:type="spellEnd"/>
            <w:r w:rsidRPr="00AA2FF2">
              <w:rPr>
                <w:rFonts w:ascii="TheSansOffice" w:hAnsi="TheSansOffice" w:cstheme="minorHAnsi"/>
              </w:rPr>
              <w:t xml:space="preserve">. z. </w:t>
            </w:r>
            <w:proofErr w:type="spellStart"/>
            <w:r w:rsidRPr="00AA2FF2">
              <w:rPr>
                <w:rFonts w:ascii="TheSansOffice" w:hAnsi="TheSansOffice" w:cstheme="minorHAnsi"/>
              </w:rPr>
              <w:t>Vj</w:t>
            </w:r>
            <w:proofErr w:type="spellEnd"/>
            <w:r w:rsidRPr="00AA2FF2">
              <w:rPr>
                <w:rFonts w:ascii="TheSansOffice" w:hAnsi="TheSansOffice" w:cstheme="minorHAnsi"/>
              </w:rPr>
              <w:t>.</w:t>
            </w:r>
          </w:p>
        </w:tc>
        <w:tc>
          <w:tcPr>
            <w:tcW w:w="834" w:type="dxa"/>
            <w:shd w:val="clear" w:color="auto" w:fill="auto"/>
          </w:tcPr>
          <w:p w14:paraId="062D4438" w14:textId="7D7FA732" w:rsidR="00135DC8" w:rsidRPr="00AA2FF2" w:rsidRDefault="00135DC8" w:rsidP="00135DC8">
            <w:pPr>
              <w:jc w:val="center"/>
              <w:rPr>
                <w:rFonts w:ascii="TheSansOffice" w:hAnsi="TheSansOffice" w:cstheme="minorHAnsi"/>
              </w:rPr>
            </w:pPr>
            <w:r w:rsidRPr="00AA2FF2">
              <w:rPr>
                <w:rFonts w:ascii="TheSansOffice" w:hAnsi="TheSansOffice" w:cstheme="minorHAnsi"/>
              </w:rPr>
              <w:t xml:space="preserve">real z. </w:t>
            </w:r>
            <w:proofErr w:type="spellStart"/>
            <w:r w:rsidRPr="00AA2FF2">
              <w:rPr>
                <w:rFonts w:ascii="TheSansOffice" w:hAnsi="TheSansOffice" w:cstheme="minorHAnsi"/>
              </w:rPr>
              <w:t>Vj</w:t>
            </w:r>
            <w:proofErr w:type="spellEnd"/>
            <w:r w:rsidRPr="00AA2FF2">
              <w:rPr>
                <w:rFonts w:ascii="TheSansOffice" w:hAnsi="TheSansOffice" w:cstheme="minorHAnsi"/>
              </w:rPr>
              <w:t>.</w:t>
            </w:r>
          </w:p>
        </w:tc>
      </w:tr>
      <w:tr w:rsidR="00233FE2" w:rsidRPr="00AA2FF2" w14:paraId="302934A8" w14:textId="77777777" w:rsidTr="00135DC8">
        <w:trPr>
          <w:gridAfter w:val="1"/>
          <w:wAfter w:w="21" w:type="dxa"/>
        </w:trPr>
        <w:tc>
          <w:tcPr>
            <w:tcW w:w="1713" w:type="dxa"/>
            <w:shd w:val="clear" w:color="auto" w:fill="auto"/>
          </w:tcPr>
          <w:p w14:paraId="11B3A359" w14:textId="77777777" w:rsidR="00233FE2" w:rsidRPr="00AA2FF2" w:rsidRDefault="00233FE2" w:rsidP="00233FE2">
            <w:pPr>
              <w:rPr>
                <w:rFonts w:ascii="TheSansOffice" w:hAnsi="TheSansOffice" w:cstheme="minorHAnsi"/>
                <w:b/>
                <w:bCs/>
              </w:rPr>
            </w:pPr>
            <w:r w:rsidRPr="00AA2FF2">
              <w:rPr>
                <w:rFonts w:ascii="TheSansOffice" w:hAnsi="TheSansOffice" w:cstheme="minorHAnsi"/>
                <w:b/>
                <w:bCs/>
              </w:rPr>
              <w:t>Wohnungsbau</w:t>
            </w:r>
          </w:p>
        </w:tc>
        <w:tc>
          <w:tcPr>
            <w:tcW w:w="1052" w:type="dxa"/>
            <w:shd w:val="clear" w:color="auto" w:fill="auto"/>
            <w:vAlign w:val="center"/>
          </w:tcPr>
          <w:p w14:paraId="338E3D10"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57.897</w:t>
            </w:r>
          </w:p>
        </w:tc>
        <w:tc>
          <w:tcPr>
            <w:tcW w:w="873" w:type="dxa"/>
            <w:shd w:val="clear" w:color="auto" w:fill="auto"/>
            <w:vAlign w:val="center"/>
          </w:tcPr>
          <w:p w14:paraId="72C95D56" w14:textId="710687D1"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-5,6%</w:t>
            </w:r>
          </w:p>
        </w:tc>
        <w:tc>
          <w:tcPr>
            <w:tcW w:w="872" w:type="dxa"/>
            <w:shd w:val="clear" w:color="auto" w:fill="auto"/>
            <w:vAlign w:val="center"/>
          </w:tcPr>
          <w:p w14:paraId="320E93DF" w14:textId="73375AC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-12,9%</w:t>
            </w:r>
          </w:p>
        </w:tc>
        <w:tc>
          <w:tcPr>
            <w:tcW w:w="1053" w:type="dxa"/>
            <w:shd w:val="clear" w:color="auto" w:fill="auto"/>
            <w:vAlign w:val="center"/>
          </w:tcPr>
          <w:p w14:paraId="744B8D94" w14:textId="66694BF0"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50.900</w:t>
            </w:r>
          </w:p>
        </w:tc>
        <w:tc>
          <w:tcPr>
            <w:tcW w:w="945" w:type="dxa"/>
            <w:shd w:val="clear" w:color="auto" w:fill="auto"/>
            <w:vAlign w:val="center"/>
          </w:tcPr>
          <w:p w14:paraId="1183501E"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-12,0%</w:t>
            </w:r>
          </w:p>
        </w:tc>
        <w:tc>
          <w:tcPr>
            <w:tcW w:w="980" w:type="dxa"/>
            <w:shd w:val="clear" w:color="auto" w:fill="auto"/>
            <w:vAlign w:val="center"/>
          </w:tcPr>
          <w:p w14:paraId="75A5515B"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-14,0%</w:t>
            </w:r>
          </w:p>
        </w:tc>
        <w:tc>
          <w:tcPr>
            <w:tcW w:w="1054" w:type="dxa"/>
            <w:shd w:val="clear" w:color="auto" w:fill="auto"/>
            <w:vAlign w:val="center"/>
          </w:tcPr>
          <w:p w14:paraId="622F14AE" w14:textId="38CA0A1E"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48.700</w:t>
            </w:r>
          </w:p>
        </w:tc>
        <w:tc>
          <w:tcPr>
            <w:tcW w:w="860" w:type="dxa"/>
            <w:shd w:val="clear" w:color="auto" w:fill="auto"/>
            <w:vAlign w:val="center"/>
          </w:tcPr>
          <w:p w14:paraId="43394488"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-4,5%</w:t>
            </w:r>
          </w:p>
        </w:tc>
        <w:tc>
          <w:tcPr>
            <w:tcW w:w="834" w:type="dxa"/>
            <w:shd w:val="clear" w:color="auto" w:fill="auto"/>
            <w:vAlign w:val="center"/>
          </w:tcPr>
          <w:p w14:paraId="0706EFC6"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-7,0%</w:t>
            </w:r>
          </w:p>
        </w:tc>
      </w:tr>
      <w:tr w:rsidR="00233FE2" w:rsidRPr="00AA2FF2" w14:paraId="4F4D5BF9" w14:textId="77777777" w:rsidTr="00135DC8">
        <w:trPr>
          <w:gridAfter w:val="1"/>
          <w:wAfter w:w="21" w:type="dxa"/>
        </w:trPr>
        <w:tc>
          <w:tcPr>
            <w:tcW w:w="1713" w:type="dxa"/>
            <w:shd w:val="clear" w:color="auto" w:fill="auto"/>
          </w:tcPr>
          <w:p w14:paraId="37D5CD93" w14:textId="77777777" w:rsidR="00233FE2" w:rsidRPr="00AA2FF2" w:rsidRDefault="00233FE2" w:rsidP="00233FE2">
            <w:pPr>
              <w:rPr>
                <w:rFonts w:ascii="TheSansOffice" w:hAnsi="TheSansOffice" w:cstheme="minorHAnsi"/>
                <w:b/>
                <w:bCs/>
              </w:rPr>
            </w:pPr>
            <w:r w:rsidRPr="00AA2FF2">
              <w:rPr>
                <w:rFonts w:ascii="TheSansOffice" w:hAnsi="TheSansOffice" w:cstheme="minorHAnsi"/>
                <w:b/>
                <w:bCs/>
              </w:rPr>
              <w:t>Wirtschaftsbau</w:t>
            </w:r>
          </w:p>
        </w:tc>
        <w:tc>
          <w:tcPr>
            <w:tcW w:w="1052" w:type="dxa"/>
            <w:shd w:val="clear" w:color="auto" w:fill="auto"/>
            <w:vAlign w:val="center"/>
          </w:tcPr>
          <w:p w14:paraId="203C5141"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60.091</w:t>
            </w:r>
          </w:p>
        </w:tc>
        <w:tc>
          <w:tcPr>
            <w:tcW w:w="873" w:type="dxa"/>
            <w:shd w:val="clear" w:color="auto" w:fill="auto"/>
            <w:vAlign w:val="center"/>
          </w:tcPr>
          <w:p w14:paraId="4505DDB7"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5,5%</w:t>
            </w:r>
          </w:p>
        </w:tc>
        <w:tc>
          <w:tcPr>
            <w:tcW w:w="872" w:type="dxa"/>
            <w:shd w:val="clear" w:color="auto" w:fill="auto"/>
            <w:vAlign w:val="center"/>
          </w:tcPr>
          <w:p w14:paraId="0D178AAD"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-1,8%</w:t>
            </w:r>
          </w:p>
        </w:tc>
        <w:tc>
          <w:tcPr>
            <w:tcW w:w="1053" w:type="dxa"/>
            <w:shd w:val="clear" w:color="auto" w:fill="auto"/>
            <w:vAlign w:val="center"/>
          </w:tcPr>
          <w:p w14:paraId="5B2FD67A" w14:textId="572AD393"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61.500</w:t>
            </w:r>
          </w:p>
        </w:tc>
        <w:tc>
          <w:tcPr>
            <w:tcW w:w="945" w:type="dxa"/>
            <w:shd w:val="clear" w:color="auto" w:fill="auto"/>
            <w:vAlign w:val="center"/>
          </w:tcPr>
          <w:p w14:paraId="5543F909"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2,4%</w:t>
            </w:r>
          </w:p>
        </w:tc>
        <w:tc>
          <w:tcPr>
            <w:tcW w:w="980" w:type="dxa"/>
            <w:shd w:val="clear" w:color="auto" w:fill="auto"/>
            <w:vAlign w:val="center"/>
          </w:tcPr>
          <w:p w14:paraId="2BB5ABA2"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0,4%</w:t>
            </w:r>
          </w:p>
        </w:tc>
        <w:tc>
          <w:tcPr>
            <w:tcW w:w="1054" w:type="dxa"/>
            <w:shd w:val="clear" w:color="auto" w:fill="auto"/>
            <w:vAlign w:val="center"/>
          </w:tcPr>
          <w:p w14:paraId="738625C3" w14:textId="3A840B15"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63.000</w:t>
            </w:r>
          </w:p>
        </w:tc>
        <w:tc>
          <w:tcPr>
            <w:tcW w:w="860" w:type="dxa"/>
            <w:shd w:val="clear" w:color="auto" w:fill="auto"/>
            <w:vAlign w:val="center"/>
          </w:tcPr>
          <w:p w14:paraId="7C63A7B7"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2,5%</w:t>
            </w:r>
          </w:p>
        </w:tc>
        <w:tc>
          <w:tcPr>
            <w:tcW w:w="834" w:type="dxa"/>
            <w:shd w:val="clear" w:color="auto" w:fill="auto"/>
            <w:vAlign w:val="center"/>
          </w:tcPr>
          <w:p w14:paraId="16261DAE"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0,0%</w:t>
            </w:r>
          </w:p>
        </w:tc>
      </w:tr>
      <w:tr w:rsidR="00233FE2" w:rsidRPr="00AA2FF2" w14:paraId="63E77FD1" w14:textId="77777777" w:rsidTr="00135DC8">
        <w:trPr>
          <w:gridAfter w:val="1"/>
          <w:wAfter w:w="21" w:type="dxa"/>
        </w:trPr>
        <w:tc>
          <w:tcPr>
            <w:tcW w:w="1713" w:type="dxa"/>
            <w:shd w:val="clear" w:color="auto" w:fill="auto"/>
          </w:tcPr>
          <w:p w14:paraId="65CE4F66" w14:textId="77777777" w:rsidR="00233FE2" w:rsidRPr="00AA2FF2" w:rsidRDefault="00233FE2" w:rsidP="00233FE2">
            <w:pPr>
              <w:rPr>
                <w:rFonts w:ascii="TheSansOffice" w:hAnsi="TheSansOffice" w:cstheme="minorHAnsi"/>
                <w:i/>
                <w:iCs/>
              </w:rPr>
            </w:pPr>
            <w:r w:rsidRPr="00AA2FF2">
              <w:rPr>
                <w:rFonts w:ascii="TheSansOffice" w:hAnsi="TheSansOffice" w:cstheme="minorHAnsi"/>
                <w:i/>
                <w:iCs/>
              </w:rPr>
              <w:t xml:space="preserve">    Hochbau</w:t>
            </w:r>
          </w:p>
        </w:tc>
        <w:tc>
          <w:tcPr>
            <w:tcW w:w="1052" w:type="dxa"/>
            <w:shd w:val="clear" w:color="auto" w:fill="auto"/>
            <w:vAlign w:val="center"/>
          </w:tcPr>
          <w:p w14:paraId="36C8E422"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rPr>
              <w:t>32.438</w:t>
            </w:r>
          </w:p>
        </w:tc>
        <w:tc>
          <w:tcPr>
            <w:tcW w:w="873" w:type="dxa"/>
            <w:shd w:val="clear" w:color="auto" w:fill="auto"/>
            <w:vAlign w:val="center"/>
          </w:tcPr>
          <w:p w14:paraId="53E4AB4A"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0,7%</w:t>
            </w:r>
          </w:p>
        </w:tc>
        <w:tc>
          <w:tcPr>
            <w:tcW w:w="872" w:type="dxa"/>
            <w:shd w:val="clear" w:color="auto" w:fill="auto"/>
            <w:vAlign w:val="center"/>
          </w:tcPr>
          <w:p w14:paraId="068C25E8"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-6,7%</w:t>
            </w:r>
          </w:p>
        </w:tc>
        <w:tc>
          <w:tcPr>
            <w:tcW w:w="1053" w:type="dxa"/>
            <w:shd w:val="clear" w:color="auto" w:fill="auto"/>
            <w:vAlign w:val="center"/>
          </w:tcPr>
          <w:p w14:paraId="4996D799" w14:textId="1EBF8D82"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30.800</w:t>
            </w:r>
          </w:p>
        </w:tc>
        <w:tc>
          <w:tcPr>
            <w:tcW w:w="945" w:type="dxa"/>
            <w:shd w:val="clear" w:color="auto" w:fill="auto"/>
            <w:vAlign w:val="center"/>
          </w:tcPr>
          <w:p w14:paraId="3AD9E9C4"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-5,0%</w:t>
            </w:r>
          </w:p>
        </w:tc>
        <w:tc>
          <w:tcPr>
            <w:tcW w:w="980" w:type="dxa"/>
            <w:shd w:val="clear" w:color="auto" w:fill="auto"/>
            <w:vAlign w:val="center"/>
          </w:tcPr>
          <w:p w14:paraId="54E9CE3B"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-7,0%</w:t>
            </w:r>
          </w:p>
        </w:tc>
        <w:tc>
          <w:tcPr>
            <w:tcW w:w="1054" w:type="dxa"/>
            <w:shd w:val="clear" w:color="auto" w:fill="auto"/>
            <w:vAlign w:val="center"/>
          </w:tcPr>
          <w:p w14:paraId="289998F5" w14:textId="70860AEE"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30.200</w:t>
            </w:r>
          </w:p>
        </w:tc>
        <w:tc>
          <w:tcPr>
            <w:tcW w:w="860" w:type="dxa"/>
            <w:shd w:val="clear" w:color="auto" w:fill="auto"/>
            <w:vAlign w:val="center"/>
          </w:tcPr>
          <w:p w14:paraId="278DBB95"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-2,0%</w:t>
            </w:r>
          </w:p>
        </w:tc>
        <w:tc>
          <w:tcPr>
            <w:tcW w:w="834" w:type="dxa"/>
            <w:shd w:val="clear" w:color="auto" w:fill="auto"/>
            <w:vAlign w:val="center"/>
          </w:tcPr>
          <w:p w14:paraId="03620F09"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-4,5%</w:t>
            </w:r>
          </w:p>
        </w:tc>
      </w:tr>
      <w:tr w:rsidR="00233FE2" w:rsidRPr="00AA2FF2" w14:paraId="7D5CC702" w14:textId="77777777" w:rsidTr="00135DC8">
        <w:trPr>
          <w:gridAfter w:val="1"/>
          <w:wAfter w:w="21" w:type="dxa"/>
        </w:trPr>
        <w:tc>
          <w:tcPr>
            <w:tcW w:w="1713" w:type="dxa"/>
            <w:shd w:val="clear" w:color="auto" w:fill="auto"/>
          </w:tcPr>
          <w:p w14:paraId="431F73EE" w14:textId="77777777" w:rsidR="00233FE2" w:rsidRPr="00AA2FF2" w:rsidRDefault="00233FE2" w:rsidP="00233FE2">
            <w:pPr>
              <w:rPr>
                <w:rFonts w:ascii="TheSansOffice" w:hAnsi="TheSansOffice" w:cstheme="minorHAnsi"/>
                <w:i/>
                <w:iCs/>
              </w:rPr>
            </w:pPr>
            <w:r w:rsidRPr="00AA2FF2">
              <w:rPr>
                <w:rFonts w:ascii="TheSansOffice" w:hAnsi="TheSansOffice" w:cstheme="minorHAnsi"/>
                <w:i/>
                <w:iCs/>
              </w:rPr>
              <w:t xml:space="preserve">    Tiefbau</w:t>
            </w:r>
          </w:p>
        </w:tc>
        <w:tc>
          <w:tcPr>
            <w:tcW w:w="1052" w:type="dxa"/>
            <w:shd w:val="clear" w:color="auto" w:fill="auto"/>
            <w:vAlign w:val="center"/>
          </w:tcPr>
          <w:p w14:paraId="28AF46BB"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rPr>
              <w:t>27.654</w:t>
            </w:r>
          </w:p>
        </w:tc>
        <w:tc>
          <w:tcPr>
            <w:tcW w:w="873" w:type="dxa"/>
            <w:shd w:val="clear" w:color="auto" w:fill="auto"/>
            <w:vAlign w:val="center"/>
          </w:tcPr>
          <w:p w14:paraId="67394288"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11,9%</w:t>
            </w:r>
          </w:p>
        </w:tc>
        <w:tc>
          <w:tcPr>
            <w:tcW w:w="872" w:type="dxa"/>
            <w:shd w:val="clear" w:color="auto" w:fill="auto"/>
            <w:vAlign w:val="center"/>
          </w:tcPr>
          <w:p w14:paraId="1ABA4A01"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4,5%</w:t>
            </w:r>
          </w:p>
        </w:tc>
        <w:tc>
          <w:tcPr>
            <w:tcW w:w="1053" w:type="dxa"/>
            <w:shd w:val="clear" w:color="auto" w:fill="auto"/>
            <w:vAlign w:val="center"/>
          </w:tcPr>
          <w:p w14:paraId="77B5BFBB" w14:textId="0352C637"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30.700</w:t>
            </w:r>
          </w:p>
        </w:tc>
        <w:tc>
          <w:tcPr>
            <w:tcW w:w="945" w:type="dxa"/>
            <w:shd w:val="clear" w:color="auto" w:fill="auto"/>
            <w:vAlign w:val="center"/>
          </w:tcPr>
          <w:p w14:paraId="1289720E"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11,0%</w:t>
            </w:r>
          </w:p>
        </w:tc>
        <w:tc>
          <w:tcPr>
            <w:tcW w:w="980" w:type="dxa"/>
            <w:shd w:val="clear" w:color="auto" w:fill="auto"/>
            <w:vAlign w:val="center"/>
          </w:tcPr>
          <w:p w14:paraId="3DE94626"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9,0%</w:t>
            </w:r>
          </w:p>
        </w:tc>
        <w:tc>
          <w:tcPr>
            <w:tcW w:w="1054" w:type="dxa"/>
            <w:shd w:val="clear" w:color="auto" w:fill="auto"/>
            <w:vAlign w:val="center"/>
          </w:tcPr>
          <w:p w14:paraId="3934E916" w14:textId="77AA7EC8"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32.800</w:t>
            </w:r>
          </w:p>
        </w:tc>
        <w:tc>
          <w:tcPr>
            <w:tcW w:w="860" w:type="dxa"/>
            <w:shd w:val="clear" w:color="auto" w:fill="auto"/>
            <w:vAlign w:val="center"/>
          </w:tcPr>
          <w:p w14:paraId="3DDEBD32"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7,0%</w:t>
            </w:r>
          </w:p>
        </w:tc>
        <w:tc>
          <w:tcPr>
            <w:tcW w:w="834" w:type="dxa"/>
            <w:shd w:val="clear" w:color="auto" w:fill="auto"/>
            <w:vAlign w:val="center"/>
          </w:tcPr>
          <w:p w14:paraId="250CF697"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4,5%</w:t>
            </w:r>
          </w:p>
        </w:tc>
      </w:tr>
      <w:tr w:rsidR="00233FE2" w:rsidRPr="00AA2FF2" w14:paraId="1006C2F4" w14:textId="77777777" w:rsidTr="00135DC8">
        <w:trPr>
          <w:gridAfter w:val="1"/>
          <w:wAfter w:w="21" w:type="dxa"/>
        </w:trPr>
        <w:tc>
          <w:tcPr>
            <w:tcW w:w="1713" w:type="dxa"/>
            <w:shd w:val="clear" w:color="auto" w:fill="auto"/>
          </w:tcPr>
          <w:p w14:paraId="6B4B94DB" w14:textId="676C8B35" w:rsidR="00233FE2" w:rsidRPr="00AA2FF2" w:rsidRDefault="00233FE2" w:rsidP="00233FE2">
            <w:pPr>
              <w:rPr>
                <w:rFonts w:ascii="TheSansOffice" w:hAnsi="TheSansOffice" w:cstheme="minorHAnsi"/>
                <w:b/>
                <w:bCs/>
              </w:rPr>
            </w:pPr>
            <w:proofErr w:type="spellStart"/>
            <w:r w:rsidRPr="00AA2FF2">
              <w:rPr>
                <w:rFonts w:ascii="TheSansOffice" w:hAnsi="TheSansOffice" w:cstheme="minorHAnsi"/>
                <w:b/>
                <w:bCs/>
              </w:rPr>
              <w:t>Öff</w:t>
            </w:r>
            <w:proofErr w:type="spellEnd"/>
            <w:r w:rsidRPr="00AA2FF2">
              <w:rPr>
                <w:rFonts w:ascii="TheSansOffice" w:hAnsi="TheSansOffice" w:cstheme="minorHAnsi"/>
                <w:b/>
                <w:bCs/>
              </w:rPr>
              <w:t>. Bau</w:t>
            </w:r>
          </w:p>
        </w:tc>
        <w:tc>
          <w:tcPr>
            <w:tcW w:w="1052" w:type="dxa"/>
            <w:shd w:val="clear" w:color="auto" w:fill="auto"/>
            <w:vAlign w:val="center"/>
          </w:tcPr>
          <w:p w14:paraId="4D9A7C96"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44.566</w:t>
            </w:r>
          </w:p>
        </w:tc>
        <w:tc>
          <w:tcPr>
            <w:tcW w:w="873" w:type="dxa"/>
            <w:shd w:val="clear" w:color="auto" w:fill="auto"/>
            <w:vAlign w:val="center"/>
          </w:tcPr>
          <w:p w14:paraId="3AAA570A"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6,0%</w:t>
            </w:r>
          </w:p>
        </w:tc>
        <w:tc>
          <w:tcPr>
            <w:tcW w:w="872" w:type="dxa"/>
            <w:shd w:val="clear" w:color="auto" w:fill="auto"/>
            <w:vAlign w:val="center"/>
          </w:tcPr>
          <w:p w14:paraId="33D9FE97"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-1,4%</w:t>
            </w:r>
          </w:p>
        </w:tc>
        <w:tc>
          <w:tcPr>
            <w:tcW w:w="1053" w:type="dxa"/>
            <w:shd w:val="clear" w:color="auto" w:fill="auto"/>
            <w:vAlign w:val="center"/>
          </w:tcPr>
          <w:p w14:paraId="4D08A62B" w14:textId="010FCD25"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46.900</w:t>
            </w:r>
          </w:p>
        </w:tc>
        <w:tc>
          <w:tcPr>
            <w:tcW w:w="945" w:type="dxa"/>
            <w:shd w:val="clear" w:color="auto" w:fill="auto"/>
            <w:vAlign w:val="center"/>
          </w:tcPr>
          <w:p w14:paraId="5FDBAC1E"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5,3%</w:t>
            </w:r>
          </w:p>
        </w:tc>
        <w:tc>
          <w:tcPr>
            <w:tcW w:w="980" w:type="dxa"/>
            <w:shd w:val="clear" w:color="auto" w:fill="auto"/>
            <w:vAlign w:val="center"/>
          </w:tcPr>
          <w:p w14:paraId="0966D557"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3,3%</w:t>
            </w:r>
          </w:p>
        </w:tc>
        <w:tc>
          <w:tcPr>
            <w:tcW w:w="1054" w:type="dxa"/>
            <w:shd w:val="clear" w:color="auto" w:fill="auto"/>
            <w:vAlign w:val="center"/>
          </w:tcPr>
          <w:p w14:paraId="4913274C" w14:textId="2DA59077"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48.200</w:t>
            </w:r>
          </w:p>
        </w:tc>
        <w:tc>
          <w:tcPr>
            <w:tcW w:w="860" w:type="dxa"/>
            <w:shd w:val="clear" w:color="auto" w:fill="auto"/>
            <w:vAlign w:val="center"/>
          </w:tcPr>
          <w:p w14:paraId="7ED76D64"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2,7%</w:t>
            </w:r>
          </w:p>
        </w:tc>
        <w:tc>
          <w:tcPr>
            <w:tcW w:w="834" w:type="dxa"/>
            <w:shd w:val="clear" w:color="auto" w:fill="auto"/>
            <w:vAlign w:val="center"/>
          </w:tcPr>
          <w:p w14:paraId="298C8CEA"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color w:val="000000"/>
              </w:rPr>
              <w:t>0,2%</w:t>
            </w:r>
          </w:p>
        </w:tc>
      </w:tr>
      <w:tr w:rsidR="00233FE2" w:rsidRPr="00AA2FF2" w14:paraId="5C53CD37" w14:textId="77777777" w:rsidTr="00135DC8">
        <w:trPr>
          <w:gridAfter w:val="1"/>
          <w:wAfter w:w="21" w:type="dxa"/>
        </w:trPr>
        <w:tc>
          <w:tcPr>
            <w:tcW w:w="1713" w:type="dxa"/>
            <w:shd w:val="clear" w:color="auto" w:fill="auto"/>
          </w:tcPr>
          <w:p w14:paraId="6E71CB3A" w14:textId="77777777" w:rsidR="00233FE2" w:rsidRPr="00AA2FF2" w:rsidRDefault="00233FE2" w:rsidP="00233FE2">
            <w:pPr>
              <w:rPr>
                <w:rFonts w:ascii="TheSansOffice" w:hAnsi="TheSansOffice" w:cstheme="minorHAnsi"/>
                <w:i/>
                <w:iCs/>
              </w:rPr>
            </w:pPr>
            <w:r w:rsidRPr="00AA2FF2">
              <w:rPr>
                <w:rFonts w:ascii="TheSansOffice" w:hAnsi="TheSansOffice" w:cstheme="minorHAnsi"/>
                <w:i/>
                <w:iCs/>
              </w:rPr>
              <w:t xml:space="preserve">    Hochbau</w:t>
            </w:r>
          </w:p>
        </w:tc>
        <w:tc>
          <w:tcPr>
            <w:tcW w:w="1052" w:type="dxa"/>
            <w:shd w:val="clear" w:color="auto" w:fill="auto"/>
            <w:vAlign w:val="center"/>
          </w:tcPr>
          <w:p w14:paraId="1E8E5FF1"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rPr>
              <w:t>9.409</w:t>
            </w:r>
          </w:p>
        </w:tc>
        <w:tc>
          <w:tcPr>
            <w:tcW w:w="873" w:type="dxa"/>
            <w:shd w:val="clear" w:color="auto" w:fill="auto"/>
            <w:vAlign w:val="center"/>
          </w:tcPr>
          <w:p w14:paraId="57035B5E"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13,1%</w:t>
            </w:r>
          </w:p>
        </w:tc>
        <w:tc>
          <w:tcPr>
            <w:tcW w:w="872" w:type="dxa"/>
            <w:shd w:val="clear" w:color="auto" w:fill="auto"/>
            <w:vAlign w:val="center"/>
          </w:tcPr>
          <w:p w14:paraId="36D5158B"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5,7%</w:t>
            </w:r>
          </w:p>
        </w:tc>
        <w:tc>
          <w:tcPr>
            <w:tcW w:w="1053" w:type="dxa"/>
            <w:shd w:val="clear" w:color="auto" w:fill="auto"/>
            <w:vAlign w:val="center"/>
          </w:tcPr>
          <w:p w14:paraId="27A83AA8" w14:textId="1A4F5254"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9.800</w:t>
            </w:r>
          </w:p>
        </w:tc>
        <w:tc>
          <w:tcPr>
            <w:tcW w:w="945" w:type="dxa"/>
            <w:shd w:val="clear" w:color="auto" w:fill="auto"/>
            <w:vAlign w:val="center"/>
          </w:tcPr>
          <w:p w14:paraId="7BDF0B9B"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4,5%</w:t>
            </w:r>
          </w:p>
        </w:tc>
        <w:tc>
          <w:tcPr>
            <w:tcW w:w="980" w:type="dxa"/>
            <w:shd w:val="clear" w:color="auto" w:fill="auto"/>
            <w:vAlign w:val="center"/>
          </w:tcPr>
          <w:p w14:paraId="36CD2B93"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2,5%</w:t>
            </w:r>
          </w:p>
        </w:tc>
        <w:tc>
          <w:tcPr>
            <w:tcW w:w="1054" w:type="dxa"/>
            <w:shd w:val="clear" w:color="auto" w:fill="auto"/>
            <w:vAlign w:val="center"/>
          </w:tcPr>
          <w:p w14:paraId="780D8063" w14:textId="02C86662"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10.000</w:t>
            </w:r>
          </w:p>
        </w:tc>
        <w:tc>
          <w:tcPr>
            <w:tcW w:w="860" w:type="dxa"/>
            <w:shd w:val="clear" w:color="auto" w:fill="auto"/>
            <w:vAlign w:val="center"/>
          </w:tcPr>
          <w:p w14:paraId="39035BF0"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1,5%</w:t>
            </w:r>
          </w:p>
        </w:tc>
        <w:tc>
          <w:tcPr>
            <w:tcW w:w="834" w:type="dxa"/>
            <w:shd w:val="clear" w:color="auto" w:fill="auto"/>
            <w:vAlign w:val="center"/>
          </w:tcPr>
          <w:p w14:paraId="50EAD756"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-1,0%</w:t>
            </w:r>
          </w:p>
        </w:tc>
      </w:tr>
      <w:tr w:rsidR="00233FE2" w:rsidRPr="00AA2FF2" w14:paraId="4FAD217C" w14:textId="77777777" w:rsidTr="00135DC8">
        <w:trPr>
          <w:gridAfter w:val="1"/>
          <w:wAfter w:w="21" w:type="dxa"/>
        </w:trPr>
        <w:tc>
          <w:tcPr>
            <w:tcW w:w="1713" w:type="dxa"/>
            <w:shd w:val="clear" w:color="auto" w:fill="auto"/>
          </w:tcPr>
          <w:p w14:paraId="15F4A20E" w14:textId="77777777" w:rsidR="00233FE2" w:rsidRPr="00AA2FF2" w:rsidRDefault="00233FE2" w:rsidP="00233FE2">
            <w:pPr>
              <w:rPr>
                <w:rFonts w:ascii="TheSansOffice" w:hAnsi="TheSansOffice" w:cstheme="minorHAnsi"/>
                <w:i/>
                <w:iCs/>
              </w:rPr>
            </w:pPr>
            <w:r w:rsidRPr="00AA2FF2">
              <w:rPr>
                <w:rFonts w:ascii="TheSansOffice" w:hAnsi="TheSansOffice" w:cstheme="minorHAnsi"/>
                <w:i/>
                <w:iCs/>
              </w:rPr>
              <w:t xml:space="preserve">    Tiefbau</w:t>
            </w:r>
          </w:p>
        </w:tc>
        <w:tc>
          <w:tcPr>
            <w:tcW w:w="1052" w:type="dxa"/>
            <w:shd w:val="clear" w:color="auto" w:fill="auto"/>
            <w:vAlign w:val="center"/>
          </w:tcPr>
          <w:p w14:paraId="64F9BC37"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rPr>
              <w:t>35.157</w:t>
            </w:r>
          </w:p>
        </w:tc>
        <w:tc>
          <w:tcPr>
            <w:tcW w:w="873" w:type="dxa"/>
            <w:shd w:val="clear" w:color="auto" w:fill="auto"/>
            <w:vAlign w:val="center"/>
          </w:tcPr>
          <w:p w14:paraId="5BB66E9C"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4,2%</w:t>
            </w:r>
          </w:p>
        </w:tc>
        <w:tc>
          <w:tcPr>
            <w:tcW w:w="872" w:type="dxa"/>
            <w:shd w:val="clear" w:color="auto" w:fill="auto"/>
            <w:vAlign w:val="center"/>
          </w:tcPr>
          <w:p w14:paraId="00BE2E58"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-3,1%</w:t>
            </w:r>
          </w:p>
        </w:tc>
        <w:tc>
          <w:tcPr>
            <w:tcW w:w="1053" w:type="dxa"/>
            <w:shd w:val="clear" w:color="auto" w:fill="auto"/>
            <w:vAlign w:val="center"/>
          </w:tcPr>
          <w:p w14:paraId="1B048704" w14:textId="1D51232F"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37.100</w:t>
            </w:r>
          </w:p>
        </w:tc>
        <w:tc>
          <w:tcPr>
            <w:tcW w:w="945" w:type="dxa"/>
            <w:shd w:val="clear" w:color="auto" w:fill="auto"/>
            <w:vAlign w:val="center"/>
          </w:tcPr>
          <w:p w14:paraId="17BC5BE7"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5,5%</w:t>
            </w:r>
          </w:p>
        </w:tc>
        <w:tc>
          <w:tcPr>
            <w:tcW w:w="980" w:type="dxa"/>
            <w:shd w:val="clear" w:color="auto" w:fill="auto"/>
            <w:vAlign w:val="center"/>
          </w:tcPr>
          <w:p w14:paraId="301E7BC8"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3,5%</w:t>
            </w:r>
          </w:p>
        </w:tc>
        <w:tc>
          <w:tcPr>
            <w:tcW w:w="1054" w:type="dxa"/>
            <w:shd w:val="clear" w:color="auto" w:fill="auto"/>
            <w:vAlign w:val="center"/>
          </w:tcPr>
          <w:p w14:paraId="1C7F7519" w14:textId="40A5C616" w:rsidR="00233FE2" w:rsidRPr="00AA2FF2" w:rsidRDefault="00233FE2" w:rsidP="00233FE2">
            <w:pPr>
              <w:jc w:val="right"/>
              <w:rPr>
                <w:rFonts w:ascii="TheSansOffice" w:hAnsi="TheSansOffice" w:cstheme="minorHAnsi"/>
              </w:rPr>
            </w:pPr>
            <w:r w:rsidRPr="00AA2FF2">
              <w:rPr>
                <w:rFonts w:ascii="TheSansOffice" w:hAnsi="TheSansOffice" w:cs="Calibri"/>
                <w:i/>
                <w:iCs/>
                <w:sz w:val="24"/>
                <w:szCs w:val="24"/>
              </w:rPr>
              <w:t>38.200</w:t>
            </w:r>
          </w:p>
        </w:tc>
        <w:tc>
          <w:tcPr>
            <w:tcW w:w="860" w:type="dxa"/>
            <w:shd w:val="clear" w:color="auto" w:fill="auto"/>
            <w:vAlign w:val="center"/>
          </w:tcPr>
          <w:p w14:paraId="60BBFC36"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3,0%</w:t>
            </w:r>
          </w:p>
        </w:tc>
        <w:tc>
          <w:tcPr>
            <w:tcW w:w="834" w:type="dxa"/>
            <w:shd w:val="clear" w:color="auto" w:fill="auto"/>
            <w:vAlign w:val="center"/>
          </w:tcPr>
          <w:p w14:paraId="26C787B0"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i/>
                <w:iCs/>
                <w:color w:val="000000"/>
              </w:rPr>
              <w:t>0,5%</w:t>
            </w:r>
          </w:p>
        </w:tc>
      </w:tr>
      <w:tr w:rsidR="00233FE2" w:rsidRPr="00AA2FF2" w14:paraId="59504B49" w14:textId="77777777" w:rsidTr="00135DC8">
        <w:trPr>
          <w:gridAfter w:val="1"/>
          <w:wAfter w:w="21" w:type="dxa"/>
        </w:trPr>
        <w:tc>
          <w:tcPr>
            <w:tcW w:w="1713" w:type="dxa"/>
            <w:shd w:val="clear" w:color="auto" w:fill="auto"/>
          </w:tcPr>
          <w:p w14:paraId="3FEA74E1" w14:textId="77777777" w:rsidR="00233FE2" w:rsidRPr="00AA2FF2" w:rsidRDefault="00233FE2" w:rsidP="00233FE2">
            <w:pPr>
              <w:rPr>
                <w:rFonts w:ascii="TheSansOffice" w:hAnsi="TheSansOffice" w:cstheme="minorHAnsi"/>
                <w:b/>
                <w:bCs/>
              </w:rPr>
            </w:pPr>
            <w:r w:rsidRPr="00AA2FF2">
              <w:rPr>
                <w:rFonts w:ascii="TheSansOffice" w:hAnsi="TheSansOffice" w:cstheme="minorHAnsi"/>
                <w:b/>
                <w:bCs/>
              </w:rPr>
              <w:t>Gesamt</w:t>
            </w:r>
          </w:p>
        </w:tc>
        <w:tc>
          <w:tcPr>
            <w:tcW w:w="1052" w:type="dxa"/>
            <w:shd w:val="clear" w:color="auto" w:fill="auto"/>
            <w:vAlign w:val="center"/>
          </w:tcPr>
          <w:p w14:paraId="2092A59F"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162.554</w:t>
            </w:r>
          </w:p>
        </w:tc>
        <w:tc>
          <w:tcPr>
            <w:tcW w:w="873" w:type="dxa"/>
            <w:shd w:val="clear" w:color="auto" w:fill="auto"/>
            <w:vAlign w:val="center"/>
          </w:tcPr>
          <w:p w14:paraId="34E87BFC" w14:textId="4E9C6FA4" w:rsidR="00233FE2" w:rsidRPr="00AA2FF2" w:rsidRDefault="00233FE2" w:rsidP="00233FE2">
            <w:pPr>
              <w:jc w:val="right"/>
              <w:rPr>
                <w:rFonts w:ascii="TheSansOffice" w:hAnsi="TheSansOffice" w:cstheme="minorHAnsi"/>
              </w:rPr>
            </w:pPr>
            <w:r w:rsidRPr="00AA2FF2">
              <w:rPr>
                <w:rFonts w:ascii="TheSansOffice" w:hAnsi="TheSansOffice" w:cstheme="minorHAnsi"/>
                <w:b/>
                <w:bCs/>
              </w:rPr>
              <w:t>1,4%</w:t>
            </w:r>
          </w:p>
        </w:tc>
        <w:tc>
          <w:tcPr>
            <w:tcW w:w="872" w:type="dxa"/>
            <w:shd w:val="clear" w:color="auto" w:fill="auto"/>
            <w:vAlign w:val="center"/>
          </w:tcPr>
          <w:p w14:paraId="55E9475D"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-6,0%</w:t>
            </w:r>
          </w:p>
        </w:tc>
        <w:tc>
          <w:tcPr>
            <w:tcW w:w="1053" w:type="dxa"/>
            <w:shd w:val="clear" w:color="auto" w:fill="auto"/>
            <w:vAlign w:val="center"/>
          </w:tcPr>
          <w:p w14:paraId="7163AC4C" w14:textId="6BA54A82"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159.300</w:t>
            </w:r>
          </w:p>
        </w:tc>
        <w:tc>
          <w:tcPr>
            <w:tcW w:w="945" w:type="dxa"/>
            <w:shd w:val="clear" w:color="auto" w:fill="auto"/>
            <w:vAlign w:val="center"/>
          </w:tcPr>
          <w:p w14:paraId="17D5E6EF"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-2,0%</w:t>
            </w:r>
          </w:p>
        </w:tc>
        <w:tc>
          <w:tcPr>
            <w:tcW w:w="980" w:type="dxa"/>
            <w:shd w:val="clear" w:color="auto" w:fill="auto"/>
            <w:vAlign w:val="center"/>
          </w:tcPr>
          <w:p w14:paraId="0409141A"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-4,0%</w:t>
            </w:r>
          </w:p>
        </w:tc>
        <w:tc>
          <w:tcPr>
            <w:tcW w:w="1054" w:type="dxa"/>
            <w:shd w:val="clear" w:color="auto" w:fill="auto"/>
            <w:vAlign w:val="center"/>
          </w:tcPr>
          <w:p w14:paraId="6B54E28A" w14:textId="36E9CC84" w:rsidR="00233FE2" w:rsidRPr="00AA2FF2" w:rsidRDefault="00233FE2" w:rsidP="00233FE2">
            <w:pPr>
              <w:jc w:val="right"/>
              <w:rPr>
                <w:rFonts w:ascii="TheSansOffice" w:hAnsi="TheSansOffice" w:cstheme="minorHAnsi"/>
              </w:rPr>
            </w:pPr>
            <w:r w:rsidRPr="00AA2FF2">
              <w:rPr>
                <w:rFonts w:ascii="TheSansOffice" w:hAnsi="TheSansOffice" w:cs="Calibri"/>
                <w:b/>
                <w:bCs/>
                <w:sz w:val="24"/>
                <w:szCs w:val="24"/>
              </w:rPr>
              <w:t>159.900</w:t>
            </w:r>
          </w:p>
        </w:tc>
        <w:tc>
          <w:tcPr>
            <w:tcW w:w="860" w:type="dxa"/>
            <w:shd w:val="clear" w:color="auto" w:fill="auto"/>
            <w:vAlign w:val="center"/>
          </w:tcPr>
          <w:p w14:paraId="3283B1B5"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0,3%</w:t>
            </w:r>
          </w:p>
        </w:tc>
        <w:tc>
          <w:tcPr>
            <w:tcW w:w="834" w:type="dxa"/>
            <w:shd w:val="clear" w:color="auto" w:fill="auto"/>
            <w:vAlign w:val="center"/>
          </w:tcPr>
          <w:p w14:paraId="0145440D" w14:textId="77777777" w:rsidR="00233FE2" w:rsidRPr="00AA2FF2" w:rsidRDefault="00233FE2" w:rsidP="00233FE2">
            <w:pPr>
              <w:jc w:val="right"/>
              <w:rPr>
                <w:rFonts w:ascii="TheSansOffice" w:hAnsi="TheSansOffice" w:cstheme="minorHAnsi"/>
              </w:rPr>
            </w:pPr>
            <w:r w:rsidRPr="00AA2FF2">
              <w:rPr>
                <w:rFonts w:ascii="TheSansOffice" w:hAnsi="TheSansOffice" w:cstheme="minorHAnsi"/>
                <w:b/>
                <w:bCs/>
              </w:rPr>
              <w:t>-2,2%</w:t>
            </w:r>
          </w:p>
        </w:tc>
      </w:tr>
    </w:tbl>
    <w:p w14:paraId="7DA57CC2" w14:textId="77777777" w:rsidR="00135DC8" w:rsidRPr="00AA2FF2" w:rsidRDefault="00135DC8" w:rsidP="00135DC8">
      <w:pPr>
        <w:spacing w:before="120"/>
        <w:rPr>
          <w:rFonts w:ascii="TheSansOffice" w:hAnsi="TheSansOffice"/>
          <w:i/>
          <w:iCs/>
        </w:rPr>
      </w:pPr>
      <w:r w:rsidRPr="00AA2FF2">
        <w:rPr>
          <w:rFonts w:ascii="TheSansOffice" w:hAnsi="TheSansOffice"/>
          <w:i/>
          <w:iCs/>
        </w:rPr>
        <w:t>Quelle: Statistisches Bundesamt; 2024 und 2025 Prognose ZDB</w:t>
      </w:r>
    </w:p>
    <w:p w14:paraId="2F200A94" w14:textId="1A83A047" w:rsidR="009355B7" w:rsidRPr="00AA2FF2" w:rsidRDefault="001C59A4" w:rsidP="009355B7">
      <w:pPr>
        <w:rPr>
          <w:rFonts w:ascii="TheSansOffice" w:hAnsi="TheSansOffice"/>
          <w:sz w:val="24"/>
          <w:szCs w:val="24"/>
        </w:rPr>
      </w:pPr>
      <w:r w:rsidRPr="00AA2FF2">
        <w:rPr>
          <w:rFonts w:ascii="TheSansOffice" w:hAnsi="TheSansOffice"/>
          <w:sz w:val="24"/>
          <w:szCs w:val="24"/>
        </w:rPr>
        <w:t xml:space="preserve">Die Kapazitätsauslastung im Hochbau, die im Herbst 2022 noch bei 70 Prozent lag, ist laut </w:t>
      </w:r>
      <w:r w:rsidR="009355B7" w:rsidRPr="00AA2FF2">
        <w:rPr>
          <w:rFonts w:ascii="TheSansOffice" w:hAnsi="TheSansOffice"/>
          <w:sz w:val="24"/>
          <w:szCs w:val="24"/>
        </w:rPr>
        <w:t>unserer aktuellen Konjunkturumfrage von November</w:t>
      </w:r>
      <w:r w:rsidR="0016396B" w:rsidRPr="00AA2FF2">
        <w:rPr>
          <w:rFonts w:ascii="TheSansOffice" w:hAnsi="TheSansOffice"/>
          <w:sz w:val="24"/>
          <w:szCs w:val="24"/>
        </w:rPr>
        <w:t xml:space="preserve"> 2024</w:t>
      </w:r>
      <w:r w:rsidR="009355B7" w:rsidRPr="00AA2FF2">
        <w:rPr>
          <w:rFonts w:ascii="TheSansOffice" w:hAnsi="TheSansOffice"/>
          <w:sz w:val="24"/>
          <w:szCs w:val="24"/>
        </w:rPr>
        <w:t xml:space="preserve"> </w:t>
      </w:r>
      <w:r w:rsidRPr="00AA2FF2">
        <w:rPr>
          <w:rFonts w:ascii="TheSansOffice" w:hAnsi="TheSansOffice"/>
          <w:sz w:val="24"/>
          <w:szCs w:val="24"/>
        </w:rPr>
        <w:t xml:space="preserve">auf </w:t>
      </w:r>
      <w:r w:rsidR="0016396B" w:rsidRPr="00AA2FF2">
        <w:rPr>
          <w:rFonts w:ascii="TheSansOffice" w:hAnsi="TheSansOffice"/>
          <w:sz w:val="24"/>
          <w:szCs w:val="24"/>
        </w:rPr>
        <w:t xml:space="preserve">mittlerweile </w:t>
      </w:r>
      <w:r w:rsidRPr="00AA2FF2">
        <w:rPr>
          <w:rFonts w:ascii="TheSansOffice" w:hAnsi="TheSansOffice"/>
          <w:sz w:val="24"/>
          <w:szCs w:val="24"/>
        </w:rPr>
        <w:t>58 Prozent gesunken – ein Rückgang um 12 Prozentpunkte.</w:t>
      </w:r>
      <w:r w:rsidR="009355B7" w:rsidRPr="00AA2FF2">
        <w:rPr>
          <w:rFonts w:ascii="TheSansOffice" w:hAnsi="TheSansOffice"/>
          <w:sz w:val="24"/>
          <w:szCs w:val="24"/>
        </w:rPr>
        <w:t xml:space="preserve"> Im Tiefbau</w:t>
      </w:r>
      <w:r w:rsidRPr="00AA2FF2">
        <w:rPr>
          <w:rFonts w:ascii="TheSansOffice" w:hAnsi="TheSansOffice"/>
          <w:sz w:val="24"/>
          <w:szCs w:val="24"/>
        </w:rPr>
        <w:t xml:space="preserve"> verringerte sich die Auslastung um etwa 5 Prozentpunkte auf derzeit </w:t>
      </w:r>
      <w:r w:rsidR="009355B7" w:rsidRPr="00AA2FF2">
        <w:rPr>
          <w:rFonts w:ascii="TheSansOffice" w:hAnsi="TheSansOffice"/>
          <w:sz w:val="24"/>
          <w:szCs w:val="24"/>
        </w:rPr>
        <w:t xml:space="preserve">62 Prozent. An der Umfrage </w:t>
      </w:r>
      <w:r w:rsidRPr="00AA2FF2">
        <w:rPr>
          <w:rFonts w:ascii="TheSansOffice" w:hAnsi="TheSansOffice"/>
          <w:sz w:val="24"/>
          <w:szCs w:val="24"/>
        </w:rPr>
        <w:t xml:space="preserve">beteiligten </w:t>
      </w:r>
      <w:r w:rsidR="009355B7" w:rsidRPr="00AA2FF2">
        <w:rPr>
          <w:rFonts w:ascii="TheSansOffice" w:hAnsi="TheSansOffice"/>
          <w:sz w:val="24"/>
          <w:szCs w:val="24"/>
        </w:rPr>
        <w:t>sich ca. 1.650 Unternehmen.</w:t>
      </w:r>
    </w:p>
    <w:p w14:paraId="7B42AEB2" w14:textId="0FA7E9C6"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Der Mangel an Aufträgen ist unter den gemeldeten </w:t>
      </w:r>
      <w:r w:rsidRPr="00AA2FF2">
        <w:rPr>
          <w:rFonts w:ascii="TheSansOffice" w:hAnsi="TheSansOffice"/>
          <w:i/>
          <w:sz w:val="24"/>
          <w:szCs w:val="24"/>
        </w:rPr>
        <w:t>Baubehinderungsgründen</w:t>
      </w:r>
      <w:r w:rsidRPr="00AA2FF2">
        <w:rPr>
          <w:rFonts w:ascii="TheSansOffice" w:hAnsi="TheSansOffice"/>
          <w:sz w:val="24"/>
          <w:szCs w:val="24"/>
        </w:rPr>
        <w:t xml:space="preserve"> mit 62 </w:t>
      </w:r>
      <w:r w:rsidR="009D56AB" w:rsidRPr="00AA2FF2">
        <w:rPr>
          <w:rFonts w:ascii="TheSansOffice" w:hAnsi="TheSansOffice"/>
          <w:sz w:val="24"/>
          <w:szCs w:val="24"/>
        </w:rPr>
        <w:t>Prozent</w:t>
      </w:r>
      <w:r w:rsidRPr="00AA2FF2">
        <w:rPr>
          <w:rFonts w:ascii="TheSansOffice" w:hAnsi="TheSansOffice"/>
          <w:sz w:val="24"/>
          <w:szCs w:val="24"/>
        </w:rPr>
        <w:t xml:space="preserve"> hervorstechend. D</w:t>
      </w:r>
      <w:r w:rsidR="0016396B" w:rsidRPr="00AA2FF2">
        <w:rPr>
          <w:rFonts w:ascii="TheSansOffice" w:hAnsi="TheSansOffice"/>
          <w:sz w:val="24"/>
          <w:szCs w:val="24"/>
        </w:rPr>
        <w:t>er Auftragsmangel</w:t>
      </w:r>
      <w:r w:rsidR="001C59A4" w:rsidRPr="00AA2FF2">
        <w:rPr>
          <w:rFonts w:ascii="TheSansOffice" w:hAnsi="TheSansOffice"/>
          <w:sz w:val="24"/>
          <w:szCs w:val="24"/>
        </w:rPr>
        <w:t xml:space="preserve"> dämpft nicht nur die Investitionsbereitschaft, sondern hemmt auch die Einstellung neuer Mitarbeiterinnen und Mitarbeiter.</w:t>
      </w:r>
    </w:p>
    <w:p w14:paraId="4834E830" w14:textId="20695DCC"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2024 haben 43 </w:t>
      </w:r>
      <w:r w:rsidR="001C59A4" w:rsidRPr="00AA2FF2">
        <w:rPr>
          <w:rFonts w:ascii="TheSansOffice" w:hAnsi="TheSansOffice"/>
          <w:sz w:val="24"/>
          <w:szCs w:val="24"/>
        </w:rPr>
        <w:t>Prozent</w:t>
      </w:r>
      <w:r w:rsidRPr="00AA2FF2">
        <w:rPr>
          <w:rFonts w:ascii="TheSansOffice" w:hAnsi="TheSansOffice"/>
          <w:sz w:val="24"/>
          <w:szCs w:val="24"/>
        </w:rPr>
        <w:t xml:space="preserve"> der Unternehmen ihre </w:t>
      </w:r>
      <w:r w:rsidRPr="00AA2FF2">
        <w:rPr>
          <w:rFonts w:ascii="TheSansOffice" w:hAnsi="TheSansOffice"/>
          <w:i/>
          <w:sz w:val="24"/>
          <w:szCs w:val="24"/>
        </w:rPr>
        <w:t>Investitionen</w:t>
      </w:r>
      <w:r w:rsidRPr="00AA2FF2">
        <w:rPr>
          <w:rFonts w:ascii="TheSansOffice" w:hAnsi="TheSansOffice"/>
          <w:sz w:val="24"/>
          <w:szCs w:val="24"/>
        </w:rPr>
        <w:t xml:space="preserve"> in Maschinen und Geräte gesenkt, </w:t>
      </w:r>
      <w:r w:rsidR="001C59A4" w:rsidRPr="00AA2FF2">
        <w:rPr>
          <w:rFonts w:ascii="TheSansOffice" w:hAnsi="TheSansOffice"/>
          <w:sz w:val="24"/>
          <w:szCs w:val="24"/>
        </w:rPr>
        <w:t>während nur</w:t>
      </w:r>
      <w:r w:rsidRPr="00AA2FF2">
        <w:rPr>
          <w:rFonts w:ascii="TheSansOffice" w:hAnsi="TheSansOffice"/>
          <w:sz w:val="24"/>
          <w:szCs w:val="24"/>
        </w:rPr>
        <w:t xml:space="preserve"> 14 </w:t>
      </w:r>
      <w:r w:rsidR="001C59A4" w:rsidRPr="00AA2FF2">
        <w:rPr>
          <w:rFonts w:ascii="TheSansOffice" w:hAnsi="TheSansOffice"/>
          <w:sz w:val="24"/>
          <w:szCs w:val="24"/>
        </w:rPr>
        <w:t xml:space="preserve">Prozent diese </w:t>
      </w:r>
      <w:r w:rsidRPr="00AA2FF2">
        <w:rPr>
          <w:rFonts w:ascii="TheSansOffice" w:hAnsi="TheSansOffice"/>
          <w:sz w:val="24"/>
          <w:szCs w:val="24"/>
        </w:rPr>
        <w:t>erhöht</w:t>
      </w:r>
      <w:r w:rsidR="001C59A4" w:rsidRPr="00AA2FF2">
        <w:rPr>
          <w:rFonts w:ascii="TheSansOffice" w:hAnsi="TheSansOffice"/>
          <w:sz w:val="24"/>
          <w:szCs w:val="24"/>
        </w:rPr>
        <w:t xml:space="preserve"> haben</w:t>
      </w:r>
      <w:r w:rsidRPr="00AA2FF2">
        <w:rPr>
          <w:rFonts w:ascii="TheSansOffice" w:hAnsi="TheSansOffice"/>
          <w:sz w:val="24"/>
          <w:szCs w:val="24"/>
        </w:rPr>
        <w:t xml:space="preserve">. Und diese Investitionszurückhaltung setzt sich fort: </w:t>
      </w:r>
      <w:r w:rsidR="001C59A4" w:rsidRPr="00AA2FF2">
        <w:rPr>
          <w:rFonts w:ascii="TheSansOffice" w:hAnsi="TheSansOffice"/>
          <w:sz w:val="24"/>
          <w:szCs w:val="24"/>
        </w:rPr>
        <w:t xml:space="preserve">Auch </w:t>
      </w:r>
      <w:r w:rsidRPr="00AA2FF2">
        <w:rPr>
          <w:rFonts w:ascii="TheSansOffice" w:hAnsi="TheSansOffice"/>
          <w:sz w:val="24"/>
          <w:szCs w:val="24"/>
        </w:rPr>
        <w:t xml:space="preserve">2025 </w:t>
      </w:r>
      <w:r w:rsidR="001C59A4" w:rsidRPr="00AA2FF2">
        <w:rPr>
          <w:rFonts w:ascii="TheSansOffice" w:hAnsi="TheSansOffice"/>
          <w:sz w:val="24"/>
          <w:szCs w:val="24"/>
        </w:rPr>
        <w:t>planen</w:t>
      </w:r>
      <w:r w:rsidRPr="00AA2FF2">
        <w:rPr>
          <w:rFonts w:ascii="TheSansOffice" w:hAnsi="TheSansOffice"/>
          <w:sz w:val="24"/>
          <w:szCs w:val="24"/>
        </w:rPr>
        <w:t xml:space="preserve"> über 40 </w:t>
      </w:r>
      <w:r w:rsidR="009D56AB" w:rsidRPr="00AA2FF2">
        <w:rPr>
          <w:rFonts w:ascii="TheSansOffice" w:hAnsi="TheSansOffice"/>
          <w:sz w:val="24"/>
          <w:szCs w:val="24"/>
        </w:rPr>
        <w:t>Prozent</w:t>
      </w:r>
      <w:r w:rsidRPr="00AA2FF2">
        <w:rPr>
          <w:rFonts w:ascii="TheSansOffice" w:hAnsi="TheSansOffice"/>
          <w:sz w:val="24"/>
          <w:szCs w:val="24"/>
        </w:rPr>
        <w:t xml:space="preserve"> der Unternehmen, ihre Investitionsbudgets in Maschinen und Geräte </w:t>
      </w:r>
      <w:r w:rsidR="006976EE" w:rsidRPr="00AA2FF2">
        <w:rPr>
          <w:rFonts w:ascii="TheSansOffice" w:hAnsi="TheSansOffice"/>
          <w:sz w:val="24"/>
          <w:szCs w:val="24"/>
        </w:rPr>
        <w:t xml:space="preserve">zu </w:t>
      </w:r>
      <w:r w:rsidRPr="00AA2FF2">
        <w:rPr>
          <w:rFonts w:ascii="TheSansOffice" w:hAnsi="TheSansOffice"/>
          <w:sz w:val="24"/>
          <w:szCs w:val="24"/>
        </w:rPr>
        <w:t>kürzen.</w:t>
      </w:r>
    </w:p>
    <w:p w14:paraId="30BC474A" w14:textId="37BFFA11"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Unter den Hochbauunternehmen haben 37 </w:t>
      </w:r>
      <w:r w:rsidR="001C59A4" w:rsidRPr="00AA2FF2">
        <w:rPr>
          <w:rFonts w:ascii="TheSansOffice" w:hAnsi="TheSansOffice"/>
          <w:sz w:val="24"/>
          <w:szCs w:val="24"/>
        </w:rPr>
        <w:t>Prozent</w:t>
      </w:r>
      <w:r w:rsidRPr="00AA2FF2">
        <w:rPr>
          <w:rFonts w:ascii="TheSansOffice" w:hAnsi="TheSansOffice"/>
          <w:sz w:val="24"/>
          <w:szCs w:val="24"/>
        </w:rPr>
        <w:t xml:space="preserve"> der rückmeldenden Unternehmen angegeben, den </w:t>
      </w:r>
      <w:r w:rsidRPr="00AA2FF2">
        <w:rPr>
          <w:rFonts w:ascii="TheSansOffice" w:hAnsi="TheSansOffice"/>
          <w:i/>
          <w:sz w:val="24"/>
          <w:szCs w:val="24"/>
        </w:rPr>
        <w:t>Beschäftigtenstand</w:t>
      </w:r>
      <w:r w:rsidRPr="00AA2FF2">
        <w:rPr>
          <w:rFonts w:ascii="TheSansOffice" w:hAnsi="TheSansOffice"/>
          <w:sz w:val="24"/>
          <w:szCs w:val="24"/>
        </w:rPr>
        <w:t xml:space="preserve"> 2024 verringert zu haben, nur 10 Prozent haben ihn erhöht. Erkennbar mehr Hochbauunternehmen sehen sich auch 2025 gezwungen</w:t>
      </w:r>
      <w:r w:rsidR="00135DC8" w:rsidRPr="00AA2FF2">
        <w:rPr>
          <w:rFonts w:ascii="TheSansOffice" w:hAnsi="TheSansOffice"/>
          <w:sz w:val="24"/>
          <w:szCs w:val="24"/>
        </w:rPr>
        <w:t>,</w:t>
      </w:r>
      <w:r w:rsidRPr="00AA2FF2">
        <w:rPr>
          <w:rFonts w:ascii="TheSansOffice" w:hAnsi="TheSansOffice"/>
          <w:sz w:val="24"/>
          <w:szCs w:val="24"/>
        </w:rPr>
        <w:t xml:space="preserve"> weiter abzubauen (18 </w:t>
      </w:r>
      <w:r w:rsidR="009D56AB" w:rsidRPr="00AA2FF2">
        <w:rPr>
          <w:rFonts w:ascii="TheSansOffice" w:hAnsi="TheSansOffice"/>
          <w:sz w:val="24"/>
          <w:szCs w:val="24"/>
        </w:rPr>
        <w:t>Prozent</w:t>
      </w:r>
      <w:r w:rsidRPr="00AA2FF2">
        <w:rPr>
          <w:rFonts w:ascii="TheSansOffice" w:hAnsi="TheSansOffice"/>
          <w:sz w:val="24"/>
          <w:szCs w:val="24"/>
        </w:rPr>
        <w:t>), als Beschäftigte zusätzlich einzustellen (11</w:t>
      </w:r>
      <w:r w:rsidR="00896ADD" w:rsidRPr="00AA2FF2">
        <w:rPr>
          <w:rFonts w:ascii="TheSansOffice" w:hAnsi="TheSansOffice"/>
          <w:sz w:val="24"/>
          <w:szCs w:val="24"/>
        </w:rPr>
        <w:t xml:space="preserve"> </w:t>
      </w:r>
      <w:r w:rsidR="009D56AB" w:rsidRPr="00AA2FF2">
        <w:rPr>
          <w:rFonts w:ascii="TheSansOffice" w:hAnsi="TheSansOffice"/>
          <w:sz w:val="24"/>
          <w:szCs w:val="24"/>
        </w:rPr>
        <w:t>Prozent</w:t>
      </w:r>
      <w:r w:rsidRPr="00AA2FF2">
        <w:rPr>
          <w:rFonts w:ascii="TheSansOffice" w:hAnsi="TheSansOffice"/>
          <w:sz w:val="24"/>
          <w:szCs w:val="24"/>
        </w:rPr>
        <w:t xml:space="preserve">). </w:t>
      </w:r>
      <w:r w:rsidR="00F57ABE" w:rsidRPr="00AA2FF2">
        <w:rPr>
          <w:rFonts w:ascii="TheSansOffice" w:hAnsi="TheSansOffice"/>
          <w:sz w:val="24"/>
          <w:szCs w:val="24"/>
        </w:rPr>
        <w:t>Der Tiefbau bleibt stabiler, mit weitgehend gehaltenen Beschäftigtenzahlen und einem anhaltend</w:t>
      </w:r>
      <w:r w:rsidR="0016396B" w:rsidRPr="00AA2FF2">
        <w:rPr>
          <w:rFonts w:ascii="TheSansOffice" w:hAnsi="TheSansOffice"/>
          <w:sz w:val="24"/>
          <w:szCs w:val="24"/>
        </w:rPr>
        <w:t xml:space="preserve"> hoh</w:t>
      </w:r>
      <w:r w:rsidR="00F57ABE" w:rsidRPr="00AA2FF2">
        <w:rPr>
          <w:rFonts w:ascii="TheSansOffice" w:hAnsi="TheSansOffice"/>
          <w:sz w:val="24"/>
          <w:szCs w:val="24"/>
        </w:rPr>
        <w:t xml:space="preserve">en Bedarf an Fachkräften für das kommende Jahr – zwei Drittel der Tiefbauunternehmen melden offenen Bedarf, im Hochbau sind es rund 40 Prozent der Unternehmen. </w:t>
      </w:r>
    </w:p>
    <w:p w14:paraId="4207B128" w14:textId="704DCAF9"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Wir rechnen für 2024 mit einem Rückgang der Beschäftigten im Bauhauptgewerbe um 15.000 Beschäftigte auf 912.000 Beschäftigte. Für 2025 erwarten wir einen weiteren Rückgang um ca. 7.000 Beschäftigte auf dann 905.000 Beschäftigte. Fünf Jahre reale Umsatzrückgänge schlagen sich hier nieder. </w:t>
      </w:r>
      <w:r w:rsidR="00F57ABE" w:rsidRPr="00AA2FF2">
        <w:rPr>
          <w:rFonts w:ascii="TheSansOffice" w:hAnsi="TheSansOffice"/>
          <w:sz w:val="24"/>
          <w:szCs w:val="24"/>
        </w:rPr>
        <w:t>Anstelle eines Kapazitätsaufbaus verzeichnet das Bauhauptgewerbe am Ende der Legislaturperiode einen</w:t>
      </w:r>
      <w:r w:rsidRPr="00AA2FF2">
        <w:rPr>
          <w:rFonts w:ascii="TheSansOffice" w:hAnsi="TheSansOffice"/>
          <w:sz w:val="24"/>
          <w:szCs w:val="24"/>
        </w:rPr>
        <w:t xml:space="preserve"> Stellenabbau.</w:t>
      </w:r>
    </w:p>
    <w:p w14:paraId="09B81169" w14:textId="77777777" w:rsidR="006976EE" w:rsidRPr="00AA2FF2" w:rsidRDefault="006976EE" w:rsidP="009355B7">
      <w:pPr>
        <w:rPr>
          <w:rFonts w:ascii="TheSansOffice" w:hAnsi="TheSansOffice"/>
          <w:sz w:val="24"/>
          <w:szCs w:val="24"/>
        </w:rPr>
      </w:pPr>
    </w:p>
    <w:p w14:paraId="64D6D0F9" w14:textId="77777777" w:rsidR="006976EE" w:rsidRPr="00AA2FF2" w:rsidRDefault="006976EE" w:rsidP="009355B7">
      <w:pPr>
        <w:rPr>
          <w:rFonts w:ascii="TheSansOffice" w:hAnsi="TheSansOffice"/>
          <w:sz w:val="24"/>
          <w:szCs w:val="24"/>
        </w:rPr>
      </w:pPr>
    </w:p>
    <w:p w14:paraId="62EF0578" w14:textId="77777777" w:rsidR="006976EE" w:rsidRPr="00AA2FF2" w:rsidRDefault="006976EE" w:rsidP="009355B7">
      <w:pPr>
        <w:rPr>
          <w:rFonts w:ascii="TheSansOffice" w:hAnsi="TheSansOffice"/>
          <w:sz w:val="24"/>
          <w:szCs w:val="24"/>
        </w:rPr>
      </w:pPr>
    </w:p>
    <w:p w14:paraId="27C072F6" w14:textId="77777777" w:rsidR="00135DC8" w:rsidRPr="00AA2FF2" w:rsidRDefault="00135DC8" w:rsidP="00135DC8">
      <w:pPr>
        <w:rPr>
          <w:rFonts w:ascii="TheSansOffice" w:hAnsi="TheSansOffice"/>
          <w:b/>
          <w:bCs/>
        </w:rPr>
      </w:pPr>
      <w:r w:rsidRPr="00AA2FF2">
        <w:rPr>
          <w:rFonts w:ascii="TheSansOffice" w:hAnsi="TheSansOffice"/>
          <w:b/>
          <w:bCs/>
        </w:rPr>
        <w:t>Bild 1: Entwicklung der Beschäftigten im BHG</w:t>
      </w:r>
    </w:p>
    <w:p w14:paraId="2379B1B2" w14:textId="60454EF1" w:rsidR="006976EE" w:rsidRPr="00AA2FF2" w:rsidRDefault="00135DC8" w:rsidP="009355B7">
      <w:pPr>
        <w:rPr>
          <w:rFonts w:ascii="TheSansOffice" w:hAnsi="TheSansOffice"/>
          <w:sz w:val="24"/>
          <w:szCs w:val="24"/>
        </w:rPr>
      </w:pPr>
      <w:r w:rsidRPr="00AA2FF2">
        <w:rPr>
          <w:rFonts w:ascii="TheSansOffice" w:hAnsi="TheSansOffice"/>
          <w:noProof/>
        </w:rPr>
        <w:drawing>
          <wp:inline distT="0" distB="0" distL="0" distR="0" wp14:anchorId="5DF2601F" wp14:editId="57F61613">
            <wp:extent cx="5759450" cy="2668317"/>
            <wp:effectExtent l="0" t="0" r="12700" b="17780"/>
            <wp:docPr id="1597511803" name="Diagramm 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E524DB" w14:textId="77777777" w:rsidR="00135DC8" w:rsidRPr="00AA2FF2" w:rsidRDefault="00135DC8" w:rsidP="00135DC8">
      <w:pPr>
        <w:rPr>
          <w:rFonts w:ascii="TheSansOffice" w:hAnsi="TheSansOffice"/>
          <w:i/>
          <w:iCs/>
        </w:rPr>
      </w:pPr>
      <w:r w:rsidRPr="00AA2FF2">
        <w:rPr>
          <w:rFonts w:ascii="TheSansOffice" w:hAnsi="TheSansOffice"/>
          <w:i/>
          <w:iCs/>
        </w:rPr>
        <w:t>Quelle: Statistisches Bundesamt; 2024 und 2025 Prognose ZDB</w:t>
      </w:r>
    </w:p>
    <w:p w14:paraId="3C242C1D" w14:textId="1516DC74"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Das rückt auch das Thema Insolvenzen im Bauhauptgewerbe wieder in das Blickfeld. Das Statistische Bundesamt meldet bis August knapp 1.100 Insolvenzen im Bauhauptgewerbe. Wenn man die durchschnittlichen Monatswerte fortschreibt, werden wir im Bauhauptgewerbe </w:t>
      </w:r>
      <w:r w:rsidR="00F57ABE" w:rsidRPr="00AA2FF2">
        <w:rPr>
          <w:rFonts w:ascii="TheSansOffice" w:hAnsi="TheSansOffice"/>
          <w:sz w:val="24"/>
          <w:szCs w:val="24"/>
        </w:rPr>
        <w:t>im Jahr 2024</w:t>
      </w:r>
      <w:r w:rsidRPr="00AA2FF2">
        <w:rPr>
          <w:rFonts w:ascii="TheSansOffice" w:hAnsi="TheSansOffice"/>
          <w:sz w:val="24"/>
          <w:szCs w:val="24"/>
        </w:rPr>
        <w:t xml:space="preserve"> ca. 1.650 Insolvenzen verzeichnen. Das wäre ein Zuwachs um 17 </w:t>
      </w:r>
      <w:r w:rsidR="009D56AB" w:rsidRPr="00AA2FF2">
        <w:rPr>
          <w:rFonts w:ascii="TheSansOffice" w:hAnsi="TheSansOffice"/>
          <w:sz w:val="24"/>
          <w:szCs w:val="24"/>
        </w:rPr>
        <w:t>Prozent</w:t>
      </w:r>
      <w:r w:rsidRPr="00AA2FF2">
        <w:rPr>
          <w:rFonts w:ascii="TheSansOffice" w:hAnsi="TheSansOffice"/>
          <w:sz w:val="24"/>
          <w:szCs w:val="24"/>
        </w:rPr>
        <w:t xml:space="preserve"> gegenüber 2023, nach</w:t>
      </w:r>
      <w:r w:rsidR="00F57ABE" w:rsidRPr="00AA2FF2">
        <w:rPr>
          <w:rFonts w:ascii="TheSansOffice" w:hAnsi="TheSansOffice"/>
          <w:sz w:val="24"/>
          <w:szCs w:val="24"/>
        </w:rPr>
        <w:t>dem 2023 bereits 25 Prozent mehr Insolvenzen als 2022 verzeichnet wurden.</w:t>
      </w:r>
      <w:r w:rsidRPr="00AA2FF2">
        <w:rPr>
          <w:rFonts w:ascii="TheSansOffice" w:hAnsi="TheSansOffice"/>
          <w:sz w:val="24"/>
          <w:szCs w:val="24"/>
        </w:rPr>
        <w:t xml:space="preserve"> 2024 ist das dritte Jahr in</w:t>
      </w:r>
      <w:r w:rsidR="00D95A54" w:rsidRPr="00AA2FF2">
        <w:rPr>
          <w:rFonts w:ascii="TheSansOffice" w:hAnsi="TheSansOffice"/>
          <w:sz w:val="24"/>
          <w:szCs w:val="24"/>
        </w:rPr>
        <w:t xml:space="preserve"> F</w:t>
      </w:r>
      <w:r w:rsidRPr="00AA2FF2">
        <w:rPr>
          <w:rFonts w:ascii="TheSansOffice" w:hAnsi="TheSansOffice"/>
          <w:sz w:val="24"/>
          <w:szCs w:val="24"/>
        </w:rPr>
        <w:t>olge mit einem Anstieg, nachdem wir zuvor 20 Jahr</w:t>
      </w:r>
      <w:r w:rsidR="00D95A54" w:rsidRPr="00AA2FF2">
        <w:rPr>
          <w:rFonts w:ascii="TheSansOffice" w:hAnsi="TheSansOffice"/>
          <w:sz w:val="24"/>
          <w:szCs w:val="24"/>
        </w:rPr>
        <w:t>e</w:t>
      </w:r>
      <w:r w:rsidRPr="00AA2FF2">
        <w:rPr>
          <w:rFonts w:ascii="TheSansOffice" w:hAnsi="TheSansOffice"/>
          <w:sz w:val="24"/>
          <w:szCs w:val="24"/>
        </w:rPr>
        <w:t xml:space="preserve"> rückläufige oder stagnierende Werte gesehen haben. </w:t>
      </w:r>
    </w:p>
    <w:p w14:paraId="52BD338B" w14:textId="11569666"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Mit den Steigerungen der letzten drei Jahre sind wir weit entfernt von den </w:t>
      </w:r>
      <w:proofErr w:type="gramStart"/>
      <w:r w:rsidRPr="00AA2FF2">
        <w:rPr>
          <w:rFonts w:ascii="TheSansOffice" w:hAnsi="TheSansOffice"/>
          <w:sz w:val="24"/>
          <w:szCs w:val="24"/>
        </w:rPr>
        <w:t>wirklich drastisch</w:t>
      </w:r>
      <w:proofErr w:type="gramEnd"/>
      <w:r w:rsidRPr="00AA2FF2">
        <w:rPr>
          <w:rFonts w:ascii="TheSansOffice" w:hAnsi="TheSansOffice"/>
          <w:sz w:val="24"/>
          <w:szCs w:val="24"/>
        </w:rPr>
        <w:t xml:space="preserve"> hohen Werten um die Jahrtausendwende, dem Ende des Krisenzyklus 1995-2005, als wir um 5.000 Insolvenzen pro Jahr hatten. Wir sind auch weit davon entfernt, wieder auf solche Werte zuzulaufen. Die Baubedarfe sind in allen Bereichen diesmal vorhanden, beim Wohnungsbau genauso wie bei der Infrastruktur. </w:t>
      </w:r>
      <w:r w:rsidR="0016396B" w:rsidRPr="00AA2FF2">
        <w:rPr>
          <w:rFonts w:ascii="TheSansOffice" w:hAnsi="TheSansOffice"/>
          <w:sz w:val="24"/>
          <w:szCs w:val="24"/>
        </w:rPr>
        <w:t>Die Bauunternehmen suchen weiter Fachkräfte.</w:t>
      </w:r>
    </w:p>
    <w:p w14:paraId="3F6F41A0" w14:textId="3F2121A6" w:rsidR="009355B7" w:rsidRPr="00AA2FF2" w:rsidRDefault="00F57ABE" w:rsidP="009355B7">
      <w:pPr>
        <w:rPr>
          <w:rFonts w:ascii="TheSansOffice" w:hAnsi="TheSansOffice"/>
          <w:sz w:val="24"/>
          <w:szCs w:val="24"/>
        </w:rPr>
      </w:pPr>
      <w:r w:rsidRPr="00AA2FF2">
        <w:rPr>
          <w:rFonts w:ascii="TheSansOffice" w:hAnsi="TheSansOffice"/>
          <w:sz w:val="24"/>
          <w:szCs w:val="24"/>
        </w:rPr>
        <w:t xml:space="preserve">Entscheidend ist, jetzt rasch die investiven Rahmenbedingungen am Standort Deutschland zu verbessern. Nur so kann die Bauwirtschaft die dringend benötigten Wohnungen bauen und ihren Beitrag zur Modernisierung der Infrastruktur leisten. </w:t>
      </w:r>
    </w:p>
    <w:p w14:paraId="2A3560B5" w14:textId="77777777" w:rsidR="009355B7" w:rsidRPr="00AA2FF2" w:rsidRDefault="009355B7" w:rsidP="009355B7">
      <w:pPr>
        <w:rPr>
          <w:rFonts w:ascii="TheSansOffice" w:hAnsi="TheSansOffice"/>
          <w:sz w:val="24"/>
          <w:szCs w:val="24"/>
        </w:rPr>
      </w:pPr>
    </w:p>
    <w:p w14:paraId="5CCBC177" w14:textId="77777777" w:rsidR="009355B7" w:rsidRPr="00AA2FF2" w:rsidRDefault="009355B7" w:rsidP="009355B7">
      <w:pPr>
        <w:rPr>
          <w:rFonts w:ascii="TheSansOffice" w:hAnsi="TheSansOffice"/>
          <w:b/>
          <w:sz w:val="24"/>
          <w:szCs w:val="24"/>
        </w:rPr>
      </w:pPr>
      <w:r w:rsidRPr="00AA2FF2">
        <w:rPr>
          <w:rFonts w:ascii="TheSansOffice" w:hAnsi="TheSansOffice"/>
          <w:b/>
          <w:sz w:val="24"/>
          <w:szCs w:val="24"/>
        </w:rPr>
        <w:t>Entwicklung in den Bausparten</w:t>
      </w:r>
    </w:p>
    <w:p w14:paraId="0FC9D789" w14:textId="77777777" w:rsidR="009355B7" w:rsidRPr="00AA2FF2" w:rsidRDefault="009355B7" w:rsidP="009355B7">
      <w:pPr>
        <w:rPr>
          <w:rFonts w:ascii="TheSansOffice" w:hAnsi="TheSansOffice"/>
          <w:b/>
          <w:i/>
          <w:sz w:val="24"/>
          <w:szCs w:val="24"/>
        </w:rPr>
      </w:pPr>
      <w:r w:rsidRPr="00AA2FF2">
        <w:rPr>
          <w:rFonts w:ascii="TheSansOffice" w:hAnsi="TheSansOffice"/>
          <w:b/>
          <w:i/>
          <w:sz w:val="24"/>
          <w:szCs w:val="24"/>
        </w:rPr>
        <w:t>Wohnungsbau</w:t>
      </w:r>
    </w:p>
    <w:p w14:paraId="4D5E6C6C" w14:textId="32EB9F8D"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Ampel-Koalition hatte sich </w:t>
      </w:r>
      <w:r w:rsidR="00F57ABE" w:rsidRPr="00AA2FF2">
        <w:rPr>
          <w:rFonts w:ascii="TheSansOffice" w:hAnsi="TheSansOffice"/>
          <w:sz w:val="24"/>
          <w:szCs w:val="24"/>
        </w:rPr>
        <w:t>vorgenommen</w:t>
      </w:r>
      <w:r w:rsidRPr="00AA2FF2">
        <w:rPr>
          <w:rFonts w:ascii="TheSansOffice" w:hAnsi="TheSansOffice"/>
          <w:sz w:val="24"/>
          <w:szCs w:val="24"/>
        </w:rPr>
        <w:t>, in der laufenden Legislaturperiode jährlich 400.000 WE fertigzustellen. Dieses richtige Ziel wird</w:t>
      </w:r>
      <w:r w:rsidR="00125F95" w:rsidRPr="00AA2FF2">
        <w:rPr>
          <w:rFonts w:ascii="TheSansOffice" w:hAnsi="TheSansOffice"/>
          <w:sz w:val="24"/>
          <w:szCs w:val="24"/>
        </w:rPr>
        <w:t xml:space="preserve"> jedoch</w:t>
      </w:r>
      <w:r w:rsidRPr="00AA2FF2">
        <w:rPr>
          <w:rFonts w:ascii="TheSansOffice" w:hAnsi="TheSansOffice"/>
          <w:sz w:val="24"/>
          <w:szCs w:val="24"/>
        </w:rPr>
        <w:t xml:space="preserve"> krachend verfehlt. Statt 1,6 Mio. WE werden in den vier Jahren 2022 bis 2025 insgesamt nur knapp 1,1 Mio. WE fertiggestellt werden. </w:t>
      </w:r>
    </w:p>
    <w:p w14:paraId="3A725A47" w14:textId="1454C5A2" w:rsidR="009355B7" w:rsidRPr="00AA2FF2" w:rsidRDefault="009355B7" w:rsidP="009355B7">
      <w:pPr>
        <w:rPr>
          <w:rFonts w:ascii="TheSansOffice" w:hAnsi="TheSansOffice"/>
          <w:sz w:val="24"/>
          <w:szCs w:val="24"/>
        </w:rPr>
      </w:pPr>
      <w:r w:rsidRPr="00AA2FF2">
        <w:rPr>
          <w:rFonts w:ascii="TheSansOffice" w:hAnsi="TheSansOffice"/>
          <w:sz w:val="24"/>
          <w:szCs w:val="24"/>
        </w:rPr>
        <w:lastRenderedPageBreak/>
        <w:t xml:space="preserve">Der Mangel an bezahlbaren Wohnungen </w:t>
      </w:r>
      <w:r w:rsidR="00125F95" w:rsidRPr="00AA2FF2">
        <w:rPr>
          <w:rFonts w:ascii="TheSansOffice" w:hAnsi="TheSansOffice"/>
          <w:sz w:val="24"/>
          <w:szCs w:val="24"/>
        </w:rPr>
        <w:t>bleibt damit ungelöst – mit spürbaren Folgen für den sozialen Frieden in Deutschland</w:t>
      </w:r>
      <w:r w:rsidRPr="00AA2FF2">
        <w:rPr>
          <w:rFonts w:ascii="TheSansOffice" w:hAnsi="TheSansOffice"/>
          <w:sz w:val="24"/>
          <w:szCs w:val="24"/>
        </w:rPr>
        <w:t xml:space="preserve">. Und das schadet auch der Bau– und Volkswirtschaft, weil vorhandene Kapazitäten nicht ausgelastet werden. </w:t>
      </w:r>
    </w:p>
    <w:p w14:paraId="4FFE36F9" w14:textId="3D944FE5"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Rahmenbedingungen für den Wohnungsbau haben sich in den letzten Jahren </w:t>
      </w:r>
      <w:r w:rsidR="00125F95" w:rsidRPr="00AA2FF2">
        <w:rPr>
          <w:rFonts w:ascii="TheSansOffice" w:hAnsi="TheSansOffice"/>
          <w:sz w:val="24"/>
          <w:szCs w:val="24"/>
        </w:rPr>
        <w:t>deutlich verschlechtert. Stark gestiegene Baukosten und explodierende Finanzierungskosten, ausgelöst durch Krisen wie die Corona-Pandemie und den Krieg in der Ukraine, belasten d</w:t>
      </w:r>
      <w:r w:rsidR="0016396B" w:rsidRPr="00AA2FF2">
        <w:rPr>
          <w:rFonts w:ascii="TheSansOffice" w:hAnsi="TheSansOffice"/>
          <w:sz w:val="24"/>
          <w:szCs w:val="24"/>
        </w:rPr>
        <w:t>ie Branche</w:t>
      </w:r>
      <w:r w:rsidR="00125F95" w:rsidRPr="00AA2FF2">
        <w:rPr>
          <w:rFonts w:ascii="TheSansOffice" w:hAnsi="TheSansOffice"/>
          <w:sz w:val="24"/>
          <w:szCs w:val="24"/>
        </w:rPr>
        <w:t xml:space="preserve"> erheblich. Die Maßnahmen der Bundesregierung konnten die notwendigen Investitionsimpulse nicht setzen.</w:t>
      </w:r>
    </w:p>
    <w:p w14:paraId="668FDED9" w14:textId="7FADCAB3" w:rsidR="009355B7" w:rsidRPr="00AA2FF2" w:rsidRDefault="00125F95" w:rsidP="009355B7">
      <w:pPr>
        <w:rPr>
          <w:rFonts w:ascii="TheSansOffice" w:hAnsi="TheSansOffice"/>
          <w:sz w:val="24"/>
          <w:szCs w:val="24"/>
        </w:rPr>
      </w:pPr>
      <w:r w:rsidRPr="00AA2FF2">
        <w:rPr>
          <w:rFonts w:ascii="TheSansOffice" w:hAnsi="TheSansOffice"/>
          <w:sz w:val="24"/>
          <w:szCs w:val="24"/>
        </w:rPr>
        <w:t>In der entscheidenden Phase z</w:t>
      </w:r>
      <w:r w:rsidR="009355B7" w:rsidRPr="00AA2FF2">
        <w:rPr>
          <w:rFonts w:ascii="TheSansOffice" w:hAnsi="TheSansOffice"/>
          <w:sz w:val="24"/>
          <w:szCs w:val="24"/>
        </w:rPr>
        <w:t>u Beginn der Legislaturperiode</w:t>
      </w:r>
      <w:r w:rsidRPr="00AA2FF2">
        <w:rPr>
          <w:rFonts w:ascii="TheSansOffice" w:hAnsi="TheSansOffice"/>
          <w:sz w:val="24"/>
          <w:szCs w:val="24"/>
        </w:rPr>
        <w:t>,</w:t>
      </w:r>
      <w:r w:rsidR="009355B7" w:rsidRPr="00AA2FF2">
        <w:rPr>
          <w:rFonts w:ascii="TheSansOffice" w:hAnsi="TheSansOffice"/>
          <w:sz w:val="24"/>
          <w:szCs w:val="24"/>
        </w:rPr>
        <w:t xml:space="preserve"> als sich die Finanzierungskosten verdreifachten</w:t>
      </w:r>
      <w:r w:rsidRPr="00AA2FF2">
        <w:rPr>
          <w:rFonts w:ascii="TheSansOffice" w:hAnsi="TheSansOffice"/>
          <w:sz w:val="24"/>
          <w:szCs w:val="24"/>
        </w:rPr>
        <w:t xml:space="preserve">, </w:t>
      </w:r>
      <w:r w:rsidR="009355B7" w:rsidRPr="00AA2FF2">
        <w:rPr>
          <w:rFonts w:ascii="TheSansOffice" w:hAnsi="TheSansOffice"/>
          <w:sz w:val="24"/>
          <w:szCs w:val="24"/>
        </w:rPr>
        <w:t xml:space="preserve">wurde die Neubauförderung zunächst eingestellt. </w:t>
      </w:r>
      <w:r w:rsidRPr="00AA2FF2">
        <w:rPr>
          <w:rFonts w:ascii="TheSansOffice" w:hAnsi="TheSansOffice"/>
          <w:sz w:val="24"/>
          <w:szCs w:val="24"/>
        </w:rPr>
        <w:t xml:space="preserve">Danach folgte </w:t>
      </w:r>
      <w:r w:rsidR="009355B7" w:rsidRPr="00AA2FF2">
        <w:rPr>
          <w:rFonts w:ascii="TheSansOffice" w:hAnsi="TheSansOffice"/>
          <w:sz w:val="24"/>
          <w:szCs w:val="24"/>
        </w:rPr>
        <w:t>eine unstete</w:t>
      </w:r>
      <w:r w:rsidRPr="00AA2FF2">
        <w:rPr>
          <w:rFonts w:ascii="TheSansOffice" w:hAnsi="TheSansOffice"/>
          <w:sz w:val="24"/>
          <w:szCs w:val="24"/>
        </w:rPr>
        <w:t xml:space="preserve"> </w:t>
      </w:r>
      <w:r w:rsidR="009355B7" w:rsidRPr="00AA2FF2">
        <w:rPr>
          <w:rFonts w:ascii="TheSansOffice" w:hAnsi="TheSansOffice"/>
          <w:sz w:val="24"/>
          <w:szCs w:val="24"/>
        </w:rPr>
        <w:t>und angesichts gleichzeitig heraufgesetzte</w:t>
      </w:r>
      <w:r w:rsidRPr="00AA2FF2">
        <w:rPr>
          <w:rFonts w:ascii="TheSansOffice" w:hAnsi="TheSansOffice"/>
          <w:sz w:val="24"/>
          <w:szCs w:val="24"/>
        </w:rPr>
        <w:t>r</w:t>
      </w:r>
      <w:r w:rsidR="009355B7" w:rsidRPr="00AA2FF2">
        <w:rPr>
          <w:rFonts w:ascii="TheSansOffice" w:hAnsi="TheSansOffice"/>
          <w:sz w:val="24"/>
          <w:szCs w:val="24"/>
        </w:rPr>
        <w:t xml:space="preserve"> Energieeffizienzstandards</w:t>
      </w:r>
      <w:r w:rsidRPr="00AA2FF2">
        <w:rPr>
          <w:rFonts w:ascii="TheSansOffice" w:hAnsi="TheSansOffice"/>
          <w:sz w:val="24"/>
          <w:szCs w:val="24"/>
        </w:rPr>
        <w:t xml:space="preserve"> auch</w:t>
      </w:r>
      <w:r w:rsidR="009355B7" w:rsidRPr="00AA2FF2">
        <w:rPr>
          <w:rFonts w:ascii="TheSansOffice" w:hAnsi="TheSansOffice"/>
          <w:sz w:val="24"/>
          <w:szCs w:val="24"/>
        </w:rPr>
        <w:t xml:space="preserve"> </w:t>
      </w:r>
      <w:proofErr w:type="spellStart"/>
      <w:r w:rsidR="009355B7" w:rsidRPr="00AA2FF2">
        <w:rPr>
          <w:rFonts w:ascii="TheSansOffice" w:hAnsi="TheSansOffice"/>
          <w:sz w:val="24"/>
          <w:szCs w:val="24"/>
        </w:rPr>
        <w:t>unauskömmliche</w:t>
      </w:r>
      <w:proofErr w:type="spellEnd"/>
      <w:r w:rsidR="009355B7" w:rsidRPr="00AA2FF2">
        <w:rPr>
          <w:rFonts w:ascii="TheSansOffice" w:hAnsi="TheSansOffice"/>
          <w:sz w:val="24"/>
          <w:szCs w:val="24"/>
        </w:rPr>
        <w:t xml:space="preserve"> Förderpolitik </w:t>
      </w:r>
      <w:r w:rsidRPr="00AA2FF2">
        <w:rPr>
          <w:rFonts w:ascii="TheSansOffice" w:hAnsi="TheSansOffice"/>
          <w:sz w:val="24"/>
          <w:szCs w:val="24"/>
        </w:rPr>
        <w:t>für den</w:t>
      </w:r>
      <w:r w:rsidR="009355B7" w:rsidRPr="00AA2FF2">
        <w:rPr>
          <w:rFonts w:ascii="TheSansOffice" w:hAnsi="TheSansOffice"/>
          <w:sz w:val="24"/>
          <w:szCs w:val="24"/>
        </w:rPr>
        <w:t xml:space="preserve"> Neubau. </w:t>
      </w:r>
    </w:p>
    <w:p w14:paraId="3865165B" w14:textId="132E906D"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w:t>
      </w:r>
      <w:r w:rsidR="00125F95" w:rsidRPr="00AA2FF2">
        <w:rPr>
          <w:rFonts w:ascii="TheSansOffice" w:hAnsi="TheSansOffice"/>
          <w:sz w:val="24"/>
          <w:szCs w:val="24"/>
        </w:rPr>
        <w:t xml:space="preserve">später eingeführten </w:t>
      </w:r>
      <w:r w:rsidRPr="00AA2FF2">
        <w:rPr>
          <w:rFonts w:ascii="TheSansOffice" w:hAnsi="TheSansOffice"/>
          <w:sz w:val="24"/>
          <w:szCs w:val="24"/>
        </w:rPr>
        <w:t xml:space="preserve">steuerlichen Maßnahmen, wie die degressive und die Sonder-Afa, sind </w:t>
      </w:r>
      <w:r w:rsidR="00125F95" w:rsidRPr="00AA2FF2">
        <w:rPr>
          <w:rFonts w:ascii="TheSansOffice" w:hAnsi="TheSansOffice"/>
          <w:sz w:val="24"/>
          <w:szCs w:val="24"/>
        </w:rPr>
        <w:t xml:space="preserve">zwar </w:t>
      </w:r>
      <w:r w:rsidRPr="00AA2FF2">
        <w:rPr>
          <w:rFonts w:ascii="TheSansOffice" w:hAnsi="TheSansOffice"/>
          <w:sz w:val="24"/>
          <w:szCs w:val="24"/>
        </w:rPr>
        <w:t>richtig, kamen aber zu spät und adressieren nur einen Teil des Wohnungsbaus - den Mietwohnungsbau.</w:t>
      </w:r>
    </w:p>
    <w:p w14:paraId="19176DA3" w14:textId="64063E27" w:rsidR="009355B7" w:rsidRPr="00AA2FF2" w:rsidRDefault="009355B7" w:rsidP="009355B7">
      <w:pPr>
        <w:rPr>
          <w:rFonts w:ascii="TheSansOffice" w:hAnsi="TheSansOffice"/>
          <w:sz w:val="24"/>
          <w:szCs w:val="24"/>
        </w:rPr>
      </w:pPr>
      <w:r w:rsidRPr="00AA2FF2">
        <w:rPr>
          <w:rFonts w:ascii="TheSansOffice" w:hAnsi="TheSansOffice"/>
          <w:sz w:val="24"/>
          <w:szCs w:val="24"/>
        </w:rPr>
        <w:t>Die Investitionszurückhaltung s</w:t>
      </w:r>
      <w:r w:rsidR="00125F95" w:rsidRPr="00AA2FF2">
        <w:rPr>
          <w:rFonts w:ascii="TheSansOffice" w:hAnsi="TheSansOffice"/>
          <w:sz w:val="24"/>
          <w:szCs w:val="24"/>
        </w:rPr>
        <w:t>piegelt</w:t>
      </w:r>
      <w:r w:rsidRPr="00AA2FF2">
        <w:rPr>
          <w:rFonts w:ascii="TheSansOffice" w:hAnsi="TheSansOffice"/>
          <w:sz w:val="24"/>
          <w:szCs w:val="24"/>
        </w:rPr>
        <w:t xml:space="preserve"> sich </w:t>
      </w:r>
      <w:r w:rsidR="00125F95" w:rsidRPr="00AA2FF2">
        <w:rPr>
          <w:rFonts w:ascii="TheSansOffice" w:hAnsi="TheSansOffice"/>
          <w:sz w:val="24"/>
          <w:szCs w:val="24"/>
        </w:rPr>
        <w:t xml:space="preserve">deutlich </w:t>
      </w:r>
      <w:r w:rsidRPr="00AA2FF2">
        <w:rPr>
          <w:rFonts w:ascii="TheSansOffice" w:hAnsi="TheSansOffice"/>
          <w:sz w:val="24"/>
          <w:szCs w:val="24"/>
        </w:rPr>
        <w:t xml:space="preserve">in den </w:t>
      </w:r>
      <w:r w:rsidRPr="00AA2FF2">
        <w:rPr>
          <w:rFonts w:ascii="TheSansOffice" w:hAnsi="TheSansOffice"/>
          <w:i/>
          <w:sz w:val="24"/>
          <w:szCs w:val="24"/>
        </w:rPr>
        <w:t>Frühindikatoren des Wohnungsbaus</w:t>
      </w:r>
      <w:r w:rsidRPr="00AA2FF2">
        <w:rPr>
          <w:rFonts w:ascii="TheSansOffice" w:hAnsi="TheSansOffice"/>
          <w:sz w:val="24"/>
          <w:szCs w:val="24"/>
        </w:rPr>
        <w:t xml:space="preserve"> </w:t>
      </w:r>
      <w:r w:rsidR="00125F95" w:rsidRPr="00AA2FF2">
        <w:rPr>
          <w:rFonts w:ascii="TheSansOffice" w:hAnsi="TheSansOffice"/>
          <w:sz w:val="24"/>
          <w:szCs w:val="24"/>
        </w:rPr>
        <w:t>wider</w:t>
      </w:r>
      <w:r w:rsidRPr="00AA2FF2">
        <w:rPr>
          <w:rFonts w:ascii="TheSansOffice" w:hAnsi="TheSansOffice"/>
          <w:sz w:val="24"/>
          <w:szCs w:val="24"/>
        </w:rPr>
        <w:t xml:space="preserve">: Bis Ende des dritten Quartals wurden für ca. 157.200 WE Baugenehmigungen erteilt. Im gleichen Zeitraum des Vorjahres waren es noch ca. 195.700 WE, 2022 waren es noch gut 272.000 WE. Zu der Messlatte 2022 haben wir also fast 120.000 genehmigte WE allein bis September verloren. Ein Rückgang um über 40 </w:t>
      </w:r>
      <w:r w:rsidR="009D56AB" w:rsidRPr="00AA2FF2">
        <w:rPr>
          <w:rFonts w:ascii="TheSansOffice" w:hAnsi="TheSansOffice"/>
          <w:sz w:val="24"/>
          <w:szCs w:val="24"/>
        </w:rPr>
        <w:t>Prozent</w:t>
      </w:r>
      <w:r w:rsidRPr="00AA2FF2">
        <w:rPr>
          <w:rFonts w:ascii="TheSansOffice" w:hAnsi="TheSansOffice"/>
          <w:sz w:val="24"/>
          <w:szCs w:val="24"/>
        </w:rPr>
        <w:t xml:space="preserve">. Überproportional betroffen ist dabei der </w:t>
      </w:r>
      <w:r w:rsidR="00A2106E" w:rsidRPr="00AA2FF2">
        <w:rPr>
          <w:rFonts w:ascii="TheSansOffice" w:hAnsi="TheSansOffice"/>
          <w:sz w:val="24"/>
          <w:szCs w:val="24"/>
        </w:rPr>
        <w:t>Ein- und Zweifamilienhausbau</w:t>
      </w:r>
      <w:r w:rsidRPr="00AA2FF2">
        <w:rPr>
          <w:rFonts w:ascii="TheSansOffice" w:hAnsi="TheSansOffice"/>
          <w:sz w:val="24"/>
          <w:szCs w:val="24"/>
        </w:rPr>
        <w:t>, wo mehr als die Hälfte des Genehmigungsvolumens verloren ging.</w:t>
      </w:r>
      <w:r w:rsidR="006E7CD9" w:rsidRPr="00AA2FF2">
        <w:rPr>
          <w:rFonts w:ascii="TheSansOffice" w:hAnsi="TheSansOffice"/>
          <w:sz w:val="24"/>
          <w:szCs w:val="24"/>
        </w:rPr>
        <w:t xml:space="preserve"> Mit ca. 50.000 genehmigten Wohneinheiten 2024 im Bereich EFH/ZFH wird der niedrigste Wert seit der Wiedervereinigung erreicht. Das bisherige Minimum wurde 2023 mit ca. 62.000 WE markiert.</w:t>
      </w:r>
    </w:p>
    <w:p w14:paraId="32D5D21E" w14:textId="24F30E7C"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Order liegen im dritten Quartal real um 5 </w:t>
      </w:r>
      <w:r w:rsidR="009D56AB" w:rsidRPr="00AA2FF2">
        <w:rPr>
          <w:rFonts w:ascii="TheSansOffice" w:hAnsi="TheSansOffice"/>
          <w:sz w:val="24"/>
          <w:szCs w:val="24"/>
        </w:rPr>
        <w:t>Prozent</w:t>
      </w:r>
      <w:r w:rsidRPr="00AA2FF2">
        <w:rPr>
          <w:rFonts w:ascii="TheSansOffice" w:hAnsi="TheSansOffice"/>
          <w:sz w:val="24"/>
          <w:szCs w:val="24"/>
        </w:rPr>
        <w:t xml:space="preserve"> unter dem Vorjahresniveau. Zum Jahr 2022 haben wir real fast 30 </w:t>
      </w:r>
      <w:r w:rsidR="009D56AB" w:rsidRPr="00AA2FF2">
        <w:rPr>
          <w:rFonts w:ascii="TheSansOffice" w:hAnsi="TheSansOffice"/>
          <w:sz w:val="24"/>
          <w:szCs w:val="24"/>
        </w:rPr>
        <w:t>Prozent</w:t>
      </w:r>
      <w:r w:rsidRPr="00AA2FF2">
        <w:rPr>
          <w:rFonts w:ascii="TheSansOffice" w:hAnsi="TheSansOffice"/>
          <w:sz w:val="24"/>
          <w:szCs w:val="24"/>
        </w:rPr>
        <w:t xml:space="preserve"> an Aufträgen verloren</w:t>
      </w:r>
      <w:r w:rsidR="006E7CD9" w:rsidRPr="00AA2FF2">
        <w:rPr>
          <w:rFonts w:ascii="TheSansOffice" w:hAnsi="TheSansOffice"/>
          <w:sz w:val="24"/>
          <w:szCs w:val="24"/>
        </w:rPr>
        <w:t>.</w:t>
      </w:r>
    </w:p>
    <w:p w14:paraId="4FEAA2D0" w14:textId="154291B4"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Nach </w:t>
      </w:r>
      <w:r w:rsidRPr="00AA2FF2">
        <w:rPr>
          <w:rFonts w:ascii="TheSansOffice" w:hAnsi="TheSansOffice"/>
          <w:i/>
          <w:sz w:val="24"/>
          <w:szCs w:val="24"/>
        </w:rPr>
        <w:t>unserer Umfrage</w:t>
      </w:r>
      <w:r w:rsidRPr="00AA2FF2">
        <w:rPr>
          <w:rFonts w:ascii="TheSansOffice" w:hAnsi="TheSansOffice"/>
          <w:sz w:val="24"/>
          <w:szCs w:val="24"/>
        </w:rPr>
        <w:t xml:space="preserve"> sehen die Unternehmen die </w:t>
      </w:r>
      <w:r w:rsidRPr="00AA2FF2">
        <w:rPr>
          <w:rFonts w:ascii="TheSansOffice" w:hAnsi="TheSansOffice"/>
          <w:i/>
          <w:iCs/>
          <w:sz w:val="24"/>
          <w:szCs w:val="24"/>
        </w:rPr>
        <w:t>Geschäftslage</w:t>
      </w:r>
      <w:r w:rsidRPr="00AA2FF2">
        <w:rPr>
          <w:rFonts w:ascii="TheSansOffice" w:hAnsi="TheSansOffice"/>
          <w:sz w:val="24"/>
          <w:szCs w:val="24"/>
        </w:rPr>
        <w:t xml:space="preserve"> im Wohnungsbau kritischer als die </w:t>
      </w:r>
      <w:r w:rsidRPr="00AA2FF2">
        <w:rPr>
          <w:rFonts w:ascii="TheSansOffice" w:hAnsi="TheSansOffice"/>
          <w:i/>
          <w:iCs/>
          <w:sz w:val="24"/>
          <w:szCs w:val="24"/>
        </w:rPr>
        <w:t>Aussichten</w:t>
      </w:r>
      <w:r w:rsidRPr="00AA2FF2">
        <w:rPr>
          <w:rFonts w:ascii="TheSansOffice" w:hAnsi="TheSansOffice"/>
          <w:sz w:val="24"/>
          <w:szCs w:val="24"/>
        </w:rPr>
        <w:t xml:space="preserve"> </w:t>
      </w:r>
      <w:r w:rsidR="00A2106E" w:rsidRPr="00AA2FF2">
        <w:rPr>
          <w:rFonts w:ascii="TheSansOffice" w:hAnsi="TheSansOffice"/>
          <w:sz w:val="24"/>
          <w:szCs w:val="24"/>
        </w:rPr>
        <w:t xml:space="preserve">für </w:t>
      </w:r>
      <w:r w:rsidRPr="00AA2FF2">
        <w:rPr>
          <w:rFonts w:ascii="TheSansOffice" w:hAnsi="TheSansOffice"/>
          <w:sz w:val="24"/>
          <w:szCs w:val="24"/>
        </w:rPr>
        <w:t xml:space="preserve">die kommenden Monate. </w:t>
      </w:r>
      <w:r w:rsidR="00A2106E" w:rsidRPr="00AA2FF2">
        <w:rPr>
          <w:rFonts w:ascii="TheSansOffice" w:hAnsi="TheSansOffice"/>
          <w:sz w:val="24"/>
          <w:szCs w:val="24"/>
        </w:rPr>
        <w:t xml:space="preserve">Während im vergangenen Jahr noch 70 Prozent der Unternehmen negative Erwartungen äußerten, liegt dieser Anteil nun unter 50 Prozent. Die Unternehmensprognosen sind demnach weniger düster als noch vor einem Jahr, was darauf hindeutet, dass das Tal der Krise möglicherweise erreicht ist. </w:t>
      </w:r>
    </w:p>
    <w:p w14:paraId="7774DE33" w14:textId="35DC5CDD" w:rsidR="009355B7" w:rsidRPr="00AA2FF2" w:rsidRDefault="00F60884" w:rsidP="009355B7">
      <w:pPr>
        <w:rPr>
          <w:rFonts w:ascii="TheSansOffice" w:hAnsi="TheSansOffice"/>
          <w:sz w:val="24"/>
          <w:szCs w:val="24"/>
        </w:rPr>
      </w:pPr>
      <w:r w:rsidRPr="00AA2FF2">
        <w:rPr>
          <w:rFonts w:ascii="TheSansOffice" w:hAnsi="TheSansOffice"/>
          <w:sz w:val="24"/>
          <w:szCs w:val="24"/>
        </w:rPr>
        <w:t>Diese Einschätzung wird durch die aktuellen Daten gestützt</w:t>
      </w:r>
      <w:r w:rsidR="009355B7" w:rsidRPr="00AA2FF2">
        <w:rPr>
          <w:rFonts w:ascii="TheSansOffice" w:hAnsi="TheSansOffice"/>
          <w:sz w:val="24"/>
          <w:szCs w:val="24"/>
        </w:rPr>
        <w:t xml:space="preserve">: Das Genehmigungsverlangen ist offensichtlich „unten angekommen“. Zuletzt wurden monatlich noch für ca. 17.000 WE Genehmigungen erteilt. Vor zwei Jahren waren es noch ca. 30.000 WE pro Monat. </w:t>
      </w:r>
    </w:p>
    <w:p w14:paraId="597D4628" w14:textId="5E8B4D96"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Auch </w:t>
      </w:r>
      <w:r w:rsidR="00F60884" w:rsidRPr="00AA2FF2">
        <w:rPr>
          <w:rFonts w:ascii="TheSansOffice" w:hAnsi="TheSansOffice"/>
          <w:sz w:val="24"/>
          <w:szCs w:val="24"/>
        </w:rPr>
        <w:t>die</w:t>
      </w:r>
      <w:r w:rsidRPr="00AA2FF2">
        <w:rPr>
          <w:rFonts w:ascii="TheSansOffice" w:hAnsi="TheSansOffice"/>
          <w:sz w:val="24"/>
          <w:szCs w:val="24"/>
        </w:rPr>
        <w:t xml:space="preserve"> Reichweite der Auftragsbestände scheint die Talsohle erreicht</w:t>
      </w:r>
      <w:r w:rsidR="00F60884" w:rsidRPr="00AA2FF2">
        <w:rPr>
          <w:rFonts w:ascii="TheSansOffice" w:hAnsi="TheSansOffice"/>
          <w:sz w:val="24"/>
          <w:szCs w:val="24"/>
        </w:rPr>
        <w:t xml:space="preserve"> zu haben</w:t>
      </w:r>
      <w:r w:rsidRPr="00AA2FF2">
        <w:rPr>
          <w:rFonts w:ascii="TheSansOffice" w:hAnsi="TheSansOffice"/>
          <w:sz w:val="24"/>
          <w:szCs w:val="24"/>
        </w:rPr>
        <w:t xml:space="preserve">. Nach ca. 4,8 Monaten </w:t>
      </w:r>
      <w:r w:rsidR="00F60884" w:rsidRPr="00AA2FF2">
        <w:rPr>
          <w:rFonts w:ascii="TheSansOffice" w:hAnsi="TheSansOffice"/>
          <w:sz w:val="24"/>
          <w:szCs w:val="24"/>
        </w:rPr>
        <w:t>im Jahr 2023</w:t>
      </w:r>
      <w:r w:rsidRPr="00AA2FF2">
        <w:rPr>
          <w:rFonts w:ascii="TheSansOffice" w:hAnsi="TheSansOffice"/>
          <w:sz w:val="24"/>
          <w:szCs w:val="24"/>
        </w:rPr>
        <w:t xml:space="preserve"> liegt </w:t>
      </w:r>
      <w:r w:rsidR="00D95A54" w:rsidRPr="00AA2FF2">
        <w:rPr>
          <w:rFonts w:ascii="TheSansOffice" w:hAnsi="TheSansOffice"/>
          <w:sz w:val="24"/>
          <w:szCs w:val="24"/>
        </w:rPr>
        <w:t xml:space="preserve">sie </w:t>
      </w:r>
      <w:r w:rsidRPr="00AA2FF2">
        <w:rPr>
          <w:rFonts w:ascii="TheSansOffice" w:hAnsi="TheSansOffice"/>
          <w:sz w:val="24"/>
          <w:szCs w:val="24"/>
        </w:rPr>
        <w:t xml:space="preserve">im September 2024 bei gut 5 Monaten. Der Auftragsbestand hat sich auf </w:t>
      </w:r>
      <w:r w:rsidR="00F60884" w:rsidRPr="00AA2FF2">
        <w:rPr>
          <w:rFonts w:ascii="TheSansOffice" w:hAnsi="TheSansOffice"/>
          <w:sz w:val="24"/>
          <w:szCs w:val="24"/>
        </w:rPr>
        <w:t xml:space="preserve">einem </w:t>
      </w:r>
      <w:r w:rsidRPr="00AA2FF2">
        <w:rPr>
          <w:rFonts w:ascii="TheSansOffice" w:hAnsi="TheSansOffice"/>
          <w:sz w:val="24"/>
          <w:szCs w:val="24"/>
        </w:rPr>
        <w:t>niedrige</w:t>
      </w:r>
      <w:r w:rsidR="00F60884" w:rsidRPr="00AA2FF2">
        <w:rPr>
          <w:rFonts w:ascii="TheSansOffice" w:hAnsi="TheSansOffice"/>
          <w:sz w:val="24"/>
          <w:szCs w:val="24"/>
        </w:rPr>
        <w:t>n</w:t>
      </w:r>
      <w:r w:rsidRPr="00AA2FF2">
        <w:rPr>
          <w:rFonts w:ascii="TheSansOffice" w:hAnsi="TheSansOffice"/>
          <w:sz w:val="24"/>
          <w:szCs w:val="24"/>
        </w:rPr>
        <w:t xml:space="preserve"> Niveau stabilisiert.</w:t>
      </w:r>
    </w:p>
    <w:p w14:paraId="35F961A5" w14:textId="7C32138A"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Für 2024 rechnen wir noch mit der </w:t>
      </w:r>
      <w:r w:rsidRPr="00AA2FF2">
        <w:rPr>
          <w:rFonts w:ascii="TheSansOffice" w:hAnsi="TheSansOffice"/>
          <w:i/>
          <w:sz w:val="24"/>
          <w:szCs w:val="24"/>
        </w:rPr>
        <w:t>Fertigstellung</w:t>
      </w:r>
      <w:r w:rsidRPr="00AA2FF2">
        <w:rPr>
          <w:rFonts w:ascii="TheSansOffice" w:hAnsi="TheSansOffice"/>
          <w:sz w:val="24"/>
          <w:szCs w:val="24"/>
        </w:rPr>
        <w:t xml:space="preserve"> von 250.000 WE bis 255.000 WE nach 294.400 WE </w:t>
      </w:r>
      <w:r w:rsidR="00F60884" w:rsidRPr="00AA2FF2">
        <w:rPr>
          <w:rFonts w:ascii="TheSansOffice" w:hAnsi="TheSansOffice"/>
          <w:sz w:val="24"/>
          <w:szCs w:val="24"/>
        </w:rPr>
        <w:t>im Jahr 2023</w:t>
      </w:r>
      <w:r w:rsidRPr="00AA2FF2">
        <w:rPr>
          <w:rFonts w:ascii="TheSansOffice" w:hAnsi="TheSansOffice"/>
          <w:sz w:val="24"/>
          <w:szCs w:val="24"/>
        </w:rPr>
        <w:t xml:space="preserve">. Für 2025 erwarten wir </w:t>
      </w:r>
      <w:r w:rsidR="00F60884" w:rsidRPr="00AA2FF2">
        <w:rPr>
          <w:rFonts w:ascii="TheSansOffice" w:hAnsi="TheSansOffice"/>
          <w:sz w:val="24"/>
          <w:szCs w:val="24"/>
        </w:rPr>
        <w:t>einen Rückgang auf etwa 220.000</w:t>
      </w:r>
      <w:r w:rsidRPr="00AA2FF2">
        <w:rPr>
          <w:rFonts w:ascii="TheSansOffice" w:hAnsi="TheSansOffice"/>
          <w:sz w:val="24"/>
          <w:szCs w:val="24"/>
        </w:rPr>
        <w:t xml:space="preserve"> Fertigstellung</w:t>
      </w:r>
      <w:r w:rsidR="00F60884" w:rsidRPr="00AA2FF2">
        <w:rPr>
          <w:rFonts w:ascii="TheSansOffice" w:hAnsi="TheSansOffice"/>
          <w:sz w:val="24"/>
          <w:szCs w:val="24"/>
        </w:rPr>
        <w:t>en</w:t>
      </w:r>
      <w:r w:rsidRPr="00AA2FF2">
        <w:rPr>
          <w:rFonts w:ascii="TheSansOffice" w:hAnsi="TheSansOffice"/>
          <w:sz w:val="24"/>
          <w:szCs w:val="24"/>
        </w:rPr>
        <w:t>.</w:t>
      </w:r>
    </w:p>
    <w:p w14:paraId="216129B7" w14:textId="6B33318C" w:rsidR="00D95A54" w:rsidRPr="00AA2FF2" w:rsidRDefault="00D95A54">
      <w:pPr>
        <w:rPr>
          <w:rFonts w:ascii="TheSansOffice" w:hAnsi="TheSansOffice"/>
          <w:sz w:val="24"/>
          <w:szCs w:val="24"/>
        </w:rPr>
      </w:pPr>
      <w:r w:rsidRPr="00AA2FF2">
        <w:rPr>
          <w:rFonts w:ascii="TheSansOffice" w:hAnsi="TheSansOffice"/>
          <w:sz w:val="24"/>
          <w:szCs w:val="24"/>
        </w:rPr>
        <w:br w:type="page"/>
      </w:r>
    </w:p>
    <w:p w14:paraId="3F3B7360" w14:textId="77777777" w:rsidR="00D95A54" w:rsidRPr="00AA2FF2" w:rsidRDefault="00D95A54" w:rsidP="00D95A54">
      <w:pPr>
        <w:spacing w:after="120"/>
        <w:rPr>
          <w:rFonts w:ascii="TheSansOffice" w:hAnsi="TheSansOffice"/>
          <w:b/>
          <w:bCs/>
        </w:rPr>
      </w:pPr>
      <w:r w:rsidRPr="00AA2FF2">
        <w:rPr>
          <w:rFonts w:ascii="TheSansOffice" w:hAnsi="TheSansOffice"/>
          <w:b/>
          <w:bCs/>
        </w:rPr>
        <w:lastRenderedPageBreak/>
        <w:t>Bild 2: Entwicklung Baufertigstellungen</w:t>
      </w:r>
    </w:p>
    <w:p w14:paraId="2B9725DD" w14:textId="5E693573" w:rsidR="006976EE" w:rsidRPr="00AA2FF2" w:rsidRDefault="00D95A54" w:rsidP="009355B7">
      <w:pPr>
        <w:rPr>
          <w:rFonts w:ascii="TheSansOffice" w:hAnsi="TheSansOffice"/>
          <w:sz w:val="24"/>
          <w:szCs w:val="24"/>
        </w:rPr>
      </w:pPr>
      <w:r w:rsidRPr="00AA2FF2">
        <w:rPr>
          <w:rFonts w:ascii="TheSansOffice" w:hAnsi="TheSansOffice"/>
          <w:noProof/>
        </w:rPr>
        <w:drawing>
          <wp:inline distT="0" distB="0" distL="0" distR="0" wp14:anchorId="0534695A" wp14:editId="6305E69E">
            <wp:extent cx="5759450" cy="2881202"/>
            <wp:effectExtent l="0" t="0" r="12700" b="14605"/>
            <wp:docPr id="945811152" name="Diagramm 1">
              <a:extLst xmlns:a="http://schemas.openxmlformats.org/drawingml/2006/main">
                <a:ext uri="{FF2B5EF4-FFF2-40B4-BE49-F238E27FC236}">
                  <a16:creationId xmlns:a16="http://schemas.microsoft.com/office/drawing/2014/main" id="{9443CCF6-E728-909B-93D5-415D711870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E8F027" w14:textId="77777777" w:rsidR="00D95A54" w:rsidRPr="00AA2FF2" w:rsidRDefault="00D95A54" w:rsidP="00D95A54">
      <w:pPr>
        <w:rPr>
          <w:rFonts w:ascii="TheSansOffice" w:hAnsi="TheSansOffice"/>
          <w:i/>
          <w:iCs/>
        </w:rPr>
      </w:pPr>
      <w:r w:rsidRPr="00AA2FF2">
        <w:rPr>
          <w:rFonts w:ascii="TheSansOffice" w:hAnsi="TheSansOffice"/>
          <w:i/>
          <w:iCs/>
        </w:rPr>
        <w:t>Quelle: Statistisches Bundesamt, 2024 und 2025 Prognose ZDB</w:t>
      </w:r>
    </w:p>
    <w:p w14:paraId="3B23CD1C" w14:textId="4BC240E4" w:rsidR="009355B7" w:rsidRPr="00AA2FF2" w:rsidRDefault="00F60884" w:rsidP="009355B7">
      <w:pPr>
        <w:rPr>
          <w:rFonts w:ascii="TheSansOffice" w:hAnsi="TheSansOffice"/>
          <w:sz w:val="24"/>
          <w:szCs w:val="24"/>
        </w:rPr>
      </w:pPr>
      <w:r w:rsidRPr="00AA2FF2">
        <w:rPr>
          <w:rFonts w:ascii="TheSansOffice" w:hAnsi="TheSansOffice"/>
          <w:sz w:val="24"/>
          <w:szCs w:val="24"/>
        </w:rPr>
        <w:t>Der</w:t>
      </w:r>
      <w:r w:rsidR="009355B7" w:rsidRPr="00AA2FF2">
        <w:rPr>
          <w:rFonts w:ascii="TheSansOffice" w:hAnsi="TheSansOffice"/>
          <w:sz w:val="24"/>
          <w:szCs w:val="24"/>
        </w:rPr>
        <w:t xml:space="preserve"> </w:t>
      </w:r>
      <w:r w:rsidR="009355B7" w:rsidRPr="00AA2FF2">
        <w:rPr>
          <w:rFonts w:ascii="TheSansOffice" w:hAnsi="TheSansOffice"/>
          <w:i/>
          <w:sz w:val="24"/>
          <w:szCs w:val="24"/>
        </w:rPr>
        <w:t>Umsatz im Wohnungsbau</w:t>
      </w:r>
      <w:r w:rsidR="009355B7" w:rsidRPr="00AA2FF2">
        <w:rPr>
          <w:rFonts w:ascii="TheSansOffice" w:hAnsi="TheSansOffice"/>
          <w:sz w:val="24"/>
          <w:szCs w:val="24"/>
        </w:rPr>
        <w:t xml:space="preserve"> </w:t>
      </w:r>
      <w:r w:rsidRPr="00AA2FF2">
        <w:rPr>
          <w:rFonts w:ascii="TheSansOffice" w:hAnsi="TheSansOffice"/>
          <w:sz w:val="24"/>
          <w:szCs w:val="24"/>
        </w:rPr>
        <w:t>wird 2024 voraussichtlich</w:t>
      </w:r>
      <w:r w:rsidR="009355B7" w:rsidRPr="00AA2FF2">
        <w:rPr>
          <w:rFonts w:ascii="TheSansOffice" w:hAnsi="TheSansOffice"/>
          <w:sz w:val="24"/>
          <w:szCs w:val="24"/>
        </w:rPr>
        <w:t xml:space="preserve"> 51 Mrd. Euro</w:t>
      </w:r>
      <w:r w:rsidRPr="00AA2FF2">
        <w:rPr>
          <w:rFonts w:ascii="TheSansOffice" w:hAnsi="TheSansOffice"/>
          <w:sz w:val="24"/>
          <w:szCs w:val="24"/>
        </w:rPr>
        <w:t xml:space="preserve"> erreichen, was einem nominalen Rückgang von 12 Prozent und einem realen Minus von 14 Prozent entspricht</w:t>
      </w:r>
      <w:r w:rsidR="009355B7" w:rsidRPr="00AA2FF2">
        <w:rPr>
          <w:rFonts w:ascii="TheSansOffice" w:hAnsi="TheSansOffice"/>
          <w:sz w:val="24"/>
          <w:szCs w:val="24"/>
        </w:rPr>
        <w:t xml:space="preserve">. </w:t>
      </w:r>
      <w:r w:rsidRPr="00AA2FF2">
        <w:rPr>
          <w:rFonts w:ascii="TheSansOffice" w:hAnsi="TheSansOffice"/>
          <w:sz w:val="24"/>
          <w:szCs w:val="24"/>
        </w:rPr>
        <w:t>Für 2025 rechnen wir mit einem weiteren Rückgang auf knapp 49 M</w:t>
      </w:r>
      <w:r w:rsidR="00D95A54" w:rsidRPr="00AA2FF2">
        <w:rPr>
          <w:rFonts w:ascii="TheSansOffice" w:hAnsi="TheSansOffice"/>
          <w:sz w:val="24"/>
          <w:szCs w:val="24"/>
        </w:rPr>
        <w:t>rd.</w:t>
      </w:r>
      <w:r w:rsidRPr="00AA2FF2">
        <w:rPr>
          <w:rFonts w:ascii="TheSansOffice" w:hAnsi="TheSansOffice"/>
          <w:sz w:val="24"/>
          <w:szCs w:val="24"/>
        </w:rPr>
        <w:t xml:space="preserve"> Euro, was nominal einem Minus von 4,5 Prozent und real einem Rückgang von 7 Prozent entspricht. </w:t>
      </w:r>
    </w:p>
    <w:p w14:paraId="678080AA" w14:textId="77777777"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Um den Wohnungsbau wieder flott zu kriegen, sind aus unserer Sicht </w:t>
      </w:r>
      <w:r w:rsidRPr="00AA2FF2">
        <w:rPr>
          <w:rFonts w:ascii="TheSansOffice" w:hAnsi="TheSansOffice"/>
          <w:i/>
          <w:sz w:val="24"/>
          <w:szCs w:val="24"/>
        </w:rPr>
        <w:t>folgende Maßnahmen vordringlich</w:t>
      </w:r>
      <w:r w:rsidRPr="00AA2FF2">
        <w:rPr>
          <w:rFonts w:ascii="TheSansOffice" w:hAnsi="TheSansOffice"/>
          <w:sz w:val="24"/>
          <w:szCs w:val="24"/>
        </w:rPr>
        <w:t>:</w:t>
      </w:r>
    </w:p>
    <w:p w14:paraId="47D4DD43" w14:textId="64DE8E34" w:rsidR="009355B7" w:rsidRPr="00AA2FF2" w:rsidRDefault="009355B7" w:rsidP="009355B7">
      <w:pPr>
        <w:pStyle w:val="Listenabsatz"/>
        <w:numPr>
          <w:ilvl w:val="0"/>
          <w:numId w:val="8"/>
        </w:numPr>
        <w:ind w:left="426"/>
        <w:rPr>
          <w:rFonts w:ascii="TheSansOffice" w:hAnsi="TheSansOffice"/>
          <w:sz w:val="24"/>
          <w:szCs w:val="24"/>
        </w:rPr>
      </w:pPr>
      <w:proofErr w:type="gramStart"/>
      <w:r w:rsidRPr="00AA2FF2">
        <w:rPr>
          <w:rFonts w:ascii="TheSansOffice" w:hAnsi="TheSansOffice"/>
          <w:sz w:val="24"/>
          <w:szCs w:val="24"/>
        </w:rPr>
        <w:t>Maßnahmen</w:t>
      </w:r>
      <w:proofErr w:type="gramEnd"/>
      <w:r w:rsidRPr="00AA2FF2">
        <w:rPr>
          <w:rFonts w:ascii="TheSansOffice" w:hAnsi="TheSansOffice"/>
          <w:sz w:val="24"/>
          <w:szCs w:val="24"/>
        </w:rPr>
        <w:t xml:space="preserve"> um die </w:t>
      </w:r>
      <w:r w:rsidRPr="00AA2FF2">
        <w:rPr>
          <w:rFonts w:ascii="TheSansOffice" w:hAnsi="TheSansOffice"/>
          <w:i/>
          <w:sz w:val="24"/>
          <w:szCs w:val="24"/>
        </w:rPr>
        <w:t>Baukosten und die Baunebenkosten zu senken</w:t>
      </w:r>
      <w:r w:rsidRPr="00AA2FF2">
        <w:rPr>
          <w:rFonts w:ascii="TheSansOffice" w:hAnsi="TheSansOffice"/>
          <w:sz w:val="24"/>
          <w:szCs w:val="24"/>
        </w:rPr>
        <w:t>,</w:t>
      </w:r>
    </w:p>
    <w:p w14:paraId="4C393592" w14:textId="1AED61EA" w:rsidR="009355B7" w:rsidRPr="00AA2FF2" w:rsidRDefault="009355B7" w:rsidP="009355B7">
      <w:pPr>
        <w:pStyle w:val="Listenabsatz"/>
        <w:numPr>
          <w:ilvl w:val="1"/>
          <w:numId w:val="8"/>
        </w:numPr>
        <w:ind w:left="851"/>
        <w:rPr>
          <w:rFonts w:ascii="TheSansOffice" w:hAnsi="TheSansOffice"/>
          <w:sz w:val="24"/>
          <w:szCs w:val="24"/>
        </w:rPr>
      </w:pPr>
      <w:r w:rsidRPr="00AA2FF2">
        <w:rPr>
          <w:rFonts w:ascii="TheSansOffice" w:hAnsi="TheSansOffice"/>
          <w:sz w:val="24"/>
          <w:szCs w:val="24"/>
        </w:rPr>
        <w:t>Die um den „Gebäudetyp E“ begonnene Diskussion fortsetzen; Vertragsrecht so gestalten, dass das einfachere Bauen auch rechtssicher vereinbar ist</w:t>
      </w:r>
      <w:r w:rsidR="00D95A54" w:rsidRPr="00AA2FF2">
        <w:rPr>
          <w:rFonts w:ascii="TheSansOffice" w:hAnsi="TheSansOffice"/>
          <w:sz w:val="24"/>
          <w:szCs w:val="24"/>
        </w:rPr>
        <w:t>;</w:t>
      </w:r>
      <w:r w:rsidRPr="00AA2FF2">
        <w:rPr>
          <w:rFonts w:ascii="TheSansOffice" w:hAnsi="TheSansOffice"/>
          <w:sz w:val="24"/>
          <w:szCs w:val="24"/>
        </w:rPr>
        <w:t xml:space="preserve"> </w:t>
      </w:r>
    </w:p>
    <w:p w14:paraId="49C900E6" w14:textId="77777777" w:rsidR="009355B7" w:rsidRPr="00AA2FF2" w:rsidRDefault="009355B7" w:rsidP="009355B7">
      <w:pPr>
        <w:pStyle w:val="Listenabsatz"/>
        <w:numPr>
          <w:ilvl w:val="1"/>
          <w:numId w:val="8"/>
        </w:numPr>
        <w:ind w:left="851"/>
        <w:rPr>
          <w:rFonts w:ascii="TheSansOffice" w:hAnsi="TheSansOffice"/>
          <w:sz w:val="24"/>
          <w:szCs w:val="24"/>
        </w:rPr>
      </w:pPr>
      <w:r w:rsidRPr="00AA2FF2">
        <w:rPr>
          <w:rFonts w:ascii="TheSansOffice" w:hAnsi="TheSansOffice"/>
          <w:sz w:val="24"/>
          <w:szCs w:val="24"/>
        </w:rPr>
        <w:t>Landesbauordnungen entschlacken und vereinheitlichen;</w:t>
      </w:r>
    </w:p>
    <w:p w14:paraId="3F344FBF" w14:textId="77777777" w:rsidR="009355B7" w:rsidRPr="00AA2FF2" w:rsidRDefault="009355B7" w:rsidP="009355B7">
      <w:pPr>
        <w:pStyle w:val="Listenabsatz"/>
        <w:numPr>
          <w:ilvl w:val="1"/>
          <w:numId w:val="8"/>
        </w:numPr>
        <w:ind w:left="851"/>
        <w:rPr>
          <w:rFonts w:ascii="TheSansOffice" w:hAnsi="TheSansOffice"/>
          <w:sz w:val="24"/>
          <w:szCs w:val="24"/>
        </w:rPr>
      </w:pPr>
      <w:r w:rsidRPr="00AA2FF2">
        <w:rPr>
          <w:rFonts w:ascii="TheSansOffice" w:hAnsi="TheSansOffice"/>
          <w:sz w:val="24"/>
          <w:szCs w:val="24"/>
        </w:rPr>
        <w:t>auf weitere Verschärfungen energetischer Standards verzichten;</w:t>
      </w:r>
    </w:p>
    <w:p w14:paraId="54E42435" w14:textId="5AF69106" w:rsidR="009355B7" w:rsidRPr="00AA2FF2" w:rsidRDefault="009355B7" w:rsidP="009355B7">
      <w:pPr>
        <w:pStyle w:val="Listenabsatz"/>
        <w:numPr>
          <w:ilvl w:val="1"/>
          <w:numId w:val="8"/>
        </w:numPr>
        <w:ind w:left="851"/>
        <w:rPr>
          <w:rFonts w:ascii="TheSansOffice" w:hAnsi="TheSansOffice"/>
          <w:sz w:val="24"/>
          <w:szCs w:val="24"/>
        </w:rPr>
      </w:pPr>
      <w:r w:rsidRPr="00AA2FF2">
        <w:rPr>
          <w:rFonts w:ascii="TheSansOffice" w:hAnsi="TheSansOffice"/>
          <w:sz w:val="24"/>
          <w:szCs w:val="24"/>
        </w:rPr>
        <w:t>Freistellung bei der Grunderwerbsteuer für den Ersterwerb von selbstgenutztem Wohneigentum</w:t>
      </w:r>
      <w:r w:rsidR="00D95A54" w:rsidRPr="00AA2FF2">
        <w:rPr>
          <w:rFonts w:ascii="TheSansOffice" w:hAnsi="TheSansOffice"/>
          <w:sz w:val="24"/>
          <w:szCs w:val="24"/>
        </w:rPr>
        <w:t>.</w:t>
      </w:r>
    </w:p>
    <w:p w14:paraId="4F4DEC94" w14:textId="49026058" w:rsidR="009355B7" w:rsidRPr="00AA2FF2" w:rsidRDefault="009355B7" w:rsidP="009355B7">
      <w:pPr>
        <w:pStyle w:val="Listenabsatz"/>
        <w:numPr>
          <w:ilvl w:val="0"/>
          <w:numId w:val="8"/>
        </w:numPr>
        <w:ind w:left="426"/>
        <w:rPr>
          <w:rFonts w:ascii="TheSansOffice" w:hAnsi="TheSansOffice"/>
          <w:sz w:val="24"/>
          <w:szCs w:val="24"/>
        </w:rPr>
      </w:pPr>
      <w:proofErr w:type="gramStart"/>
      <w:r w:rsidRPr="00AA2FF2">
        <w:rPr>
          <w:rFonts w:ascii="TheSansOffice" w:hAnsi="TheSansOffice"/>
          <w:sz w:val="24"/>
          <w:szCs w:val="24"/>
        </w:rPr>
        <w:t>Maßnahmen</w:t>
      </w:r>
      <w:proofErr w:type="gramEnd"/>
      <w:r w:rsidRPr="00AA2FF2">
        <w:rPr>
          <w:rFonts w:ascii="TheSansOffice" w:hAnsi="TheSansOffice"/>
          <w:sz w:val="24"/>
          <w:szCs w:val="24"/>
        </w:rPr>
        <w:t xml:space="preserve"> um die Finanzierungslast zu senken:</w:t>
      </w:r>
    </w:p>
    <w:p w14:paraId="7B79D61C" w14:textId="40266860" w:rsidR="009355B7" w:rsidRPr="00AA2FF2" w:rsidRDefault="009355B7" w:rsidP="009355B7">
      <w:pPr>
        <w:pStyle w:val="Listenabsatz"/>
        <w:numPr>
          <w:ilvl w:val="1"/>
          <w:numId w:val="8"/>
        </w:numPr>
        <w:ind w:left="851"/>
        <w:rPr>
          <w:rFonts w:ascii="TheSansOffice" w:hAnsi="TheSansOffice"/>
          <w:sz w:val="24"/>
          <w:szCs w:val="24"/>
        </w:rPr>
      </w:pPr>
      <w:r w:rsidRPr="00AA2FF2">
        <w:rPr>
          <w:rFonts w:ascii="TheSansOffice" w:hAnsi="TheSansOffice"/>
          <w:sz w:val="24"/>
          <w:szCs w:val="24"/>
        </w:rPr>
        <w:t>Förderpolitik für Neubau und Sanierung verlässlich, auskömmlich und planbar gestalten</w:t>
      </w:r>
      <w:r w:rsidR="00D95A54" w:rsidRPr="00AA2FF2">
        <w:rPr>
          <w:rFonts w:ascii="TheSansOffice" w:hAnsi="TheSansOffice"/>
          <w:sz w:val="24"/>
          <w:szCs w:val="24"/>
        </w:rPr>
        <w:t>;</w:t>
      </w:r>
    </w:p>
    <w:p w14:paraId="0C17E30A" w14:textId="1C7EF282" w:rsidR="009355B7" w:rsidRPr="00AA2FF2" w:rsidRDefault="009355B7" w:rsidP="009355B7">
      <w:pPr>
        <w:pStyle w:val="Listenabsatz"/>
        <w:numPr>
          <w:ilvl w:val="1"/>
          <w:numId w:val="8"/>
        </w:numPr>
        <w:ind w:left="851"/>
        <w:rPr>
          <w:rFonts w:ascii="TheSansOffice" w:hAnsi="TheSansOffice"/>
          <w:sz w:val="24"/>
          <w:szCs w:val="24"/>
        </w:rPr>
      </w:pPr>
      <w:r w:rsidRPr="00AA2FF2">
        <w:rPr>
          <w:rFonts w:ascii="TheSansOffice" w:hAnsi="TheSansOffice"/>
          <w:sz w:val="24"/>
          <w:szCs w:val="24"/>
        </w:rPr>
        <w:t>Es muss zumindest temporär gefördert werden, was gesetzlich gefordert ist. (Neubauförderprogramme am EH 55-Standard ausrichten)</w:t>
      </w:r>
      <w:r w:rsidR="00D95A54" w:rsidRPr="00AA2FF2">
        <w:rPr>
          <w:rFonts w:ascii="TheSansOffice" w:hAnsi="TheSansOffice"/>
          <w:sz w:val="24"/>
          <w:szCs w:val="24"/>
        </w:rPr>
        <w:t>;</w:t>
      </w:r>
    </w:p>
    <w:p w14:paraId="0B6DBBA5" w14:textId="4D2A3194" w:rsidR="009355B7" w:rsidRPr="00AA2FF2" w:rsidRDefault="009355B7" w:rsidP="009355B7">
      <w:pPr>
        <w:pStyle w:val="Listenabsatz"/>
        <w:numPr>
          <w:ilvl w:val="1"/>
          <w:numId w:val="8"/>
        </w:numPr>
        <w:ind w:left="851"/>
        <w:rPr>
          <w:rFonts w:ascii="TheSansOffice" w:hAnsi="TheSansOffice"/>
          <w:sz w:val="24"/>
          <w:szCs w:val="24"/>
        </w:rPr>
      </w:pPr>
      <w:r w:rsidRPr="00AA2FF2">
        <w:rPr>
          <w:rFonts w:ascii="TheSansOffice" w:hAnsi="TheSansOffice"/>
          <w:sz w:val="24"/>
          <w:szCs w:val="24"/>
        </w:rPr>
        <w:t>Degressive und Sonder-AfA im Mietwohnungsbau beibehalten</w:t>
      </w:r>
      <w:r w:rsidR="00D95A54" w:rsidRPr="00AA2FF2">
        <w:rPr>
          <w:rFonts w:ascii="TheSansOffice" w:hAnsi="TheSansOffice"/>
          <w:sz w:val="24"/>
          <w:szCs w:val="24"/>
        </w:rPr>
        <w:t>;</w:t>
      </w:r>
    </w:p>
    <w:p w14:paraId="0BC46796" w14:textId="66BCD820" w:rsidR="009355B7" w:rsidRPr="00AA2FF2" w:rsidRDefault="009355B7" w:rsidP="00D95A54">
      <w:pPr>
        <w:pStyle w:val="Listenabsatz"/>
        <w:numPr>
          <w:ilvl w:val="1"/>
          <w:numId w:val="8"/>
        </w:numPr>
        <w:spacing w:after="360"/>
        <w:ind w:left="850" w:hanging="357"/>
        <w:contextualSpacing w:val="0"/>
        <w:rPr>
          <w:rFonts w:ascii="TheSansOffice" w:hAnsi="TheSansOffice"/>
          <w:sz w:val="24"/>
          <w:szCs w:val="24"/>
        </w:rPr>
      </w:pPr>
      <w:r w:rsidRPr="00AA2FF2">
        <w:rPr>
          <w:rFonts w:ascii="TheSansOffice" w:hAnsi="TheSansOffice"/>
          <w:sz w:val="24"/>
          <w:szCs w:val="24"/>
        </w:rPr>
        <w:t>Soziale Wohnraumförderung fortsetzen: Forcierung der Budgetierung im Programm "Sozialer Wohnungsbau"</w:t>
      </w:r>
      <w:r w:rsidR="00D95A54" w:rsidRPr="00AA2FF2">
        <w:rPr>
          <w:rFonts w:ascii="TheSansOffice" w:hAnsi="TheSansOffice"/>
          <w:sz w:val="24"/>
          <w:szCs w:val="24"/>
        </w:rPr>
        <w:t>.</w:t>
      </w:r>
    </w:p>
    <w:p w14:paraId="08C69347" w14:textId="77777777" w:rsidR="009355B7" w:rsidRPr="00AA2FF2" w:rsidRDefault="009355B7" w:rsidP="009355B7">
      <w:pPr>
        <w:rPr>
          <w:rFonts w:ascii="TheSansOffice" w:hAnsi="TheSansOffice"/>
          <w:b/>
          <w:i/>
          <w:sz w:val="24"/>
          <w:szCs w:val="24"/>
        </w:rPr>
      </w:pPr>
      <w:r w:rsidRPr="00AA2FF2">
        <w:rPr>
          <w:rFonts w:ascii="TheSansOffice" w:hAnsi="TheSansOffice"/>
          <w:b/>
          <w:i/>
          <w:sz w:val="24"/>
          <w:szCs w:val="24"/>
        </w:rPr>
        <w:t>Wirtschaftsbau</w:t>
      </w:r>
    </w:p>
    <w:p w14:paraId="450CBD98" w14:textId="5CCB583C"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Im Wirtschaftsbau </w:t>
      </w:r>
      <w:r w:rsidR="00D412F2" w:rsidRPr="00AA2FF2">
        <w:rPr>
          <w:rFonts w:ascii="TheSansOffice" w:hAnsi="TheSansOffice"/>
          <w:sz w:val="24"/>
          <w:szCs w:val="24"/>
        </w:rPr>
        <w:t>beobachten</w:t>
      </w:r>
      <w:r w:rsidRPr="00AA2FF2">
        <w:rPr>
          <w:rFonts w:ascii="TheSansOffice" w:hAnsi="TheSansOffice"/>
          <w:sz w:val="24"/>
          <w:szCs w:val="24"/>
        </w:rPr>
        <w:t xml:space="preserve"> wir seit zwei Jahren eine </w:t>
      </w:r>
      <w:r w:rsidR="00D412F2" w:rsidRPr="00AA2FF2">
        <w:rPr>
          <w:rFonts w:ascii="TheSansOffice" w:hAnsi="TheSansOffice"/>
          <w:sz w:val="24"/>
          <w:szCs w:val="24"/>
        </w:rPr>
        <w:t xml:space="preserve">differenzierte Entwicklung zwischen </w:t>
      </w:r>
      <w:r w:rsidRPr="00AA2FF2">
        <w:rPr>
          <w:rFonts w:ascii="TheSansOffice" w:hAnsi="TheSansOffice"/>
          <w:sz w:val="24"/>
          <w:szCs w:val="24"/>
        </w:rPr>
        <w:t>Hoch- und Tiefbau</w:t>
      </w:r>
      <w:r w:rsidR="00D412F2" w:rsidRPr="00AA2FF2">
        <w:rPr>
          <w:rFonts w:ascii="TheSansOffice" w:hAnsi="TheSansOffice"/>
          <w:sz w:val="24"/>
          <w:szCs w:val="24"/>
        </w:rPr>
        <w:t>, bedingt du</w:t>
      </w:r>
      <w:r w:rsidR="00D95A54" w:rsidRPr="00AA2FF2">
        <w:rPr>
          <w:rFonts w:ascii="TheSansOffice" w:hAnsi="TheSansOffice"/>
          <w:sz w:val="24"/>
          <w:szCs w:val="24"/>
        </w:rPr>
        <w:t>r</w:t>
      </w:r>
      <w:r w:rsidR="00D412F2" w:rsidRPr="00AA2FF2">
        <w:rPr>
          <w:rFonts w:ascii="TheSansOffice" w:hAnsi="TheSansOffice"/>
          <w:sz w:val="24"/>
          <w:szCs w:val="24"/>
        </w:rPr>
        <w:t>ch die</w:t>
      </w:r>
      <w:r w:rsidRPr="00AA2FF2">
        <w:rPr>
          <w:rFonts w:ascii="TheSansOffice" w:hAnsi="TheSansOffice"/>
          <w:sz w:val="24"/>
          <w:szCs w:val="24"/>
        </w:rPr>
        <w:t xml:space="preserve"> unterschiedlichen wirtschaftlichen Rahmenbedingungen in </w:t>
      </w:r>
      <w:r w:rsidR="00D412F2" w:rsidRPr="00AA2FF2">
        <w:rPr>
          <w:rFonts w:ascii="TheSansOffice" w:hAnsi="TheSansOffice"/>
          <w:sz w:val="24"/>
          <w:szCs w:val="24"/>
        </w:rPr>
        <w:t>beiden Bereichen</w:t>
      </w:r>
      <w:r w:rsidRPr="00AA2FF2">
        <w:rPr>
          <w:rFonts w:ascii="TheSansOffice" w:hAnsi="TheSansOffice"/>
          <w:sz w:val="24"/>
          <w:szCs w:val="24"/>
        </w:rPr>
        <w:t xml:space="preserve">. </w:t>
      </w:r>
    </w:p>
    <w:p w14:paraId="14D24FE8" w14:textId="12F01311" w:rsidR="009355B7" w:rsidRPr="00AA2FF2" w:rsidRDefault="009355B7" w:rsidP="009355B7">
      <w:pPr>
        <w:rPr>
          <w:rFonts w:ascii="TheSansOffice" w:hAnsi="TheSansOffice"/>
          <w:sz w:val="24"/>
          <w:szCs w:val="24"/>
        </w:rPr>
      </w:pPr>
      <w:r w:rsidRPr="00AA2FF2">
        <w:rPr>
          <w:rFonts w:ascii="TheSansOffice" w:hAnsi="TheSansOffice"/>
          <w:sz w:val="24"/>
          <w:szCs w:val="24"/>
        </w:rPr>
        <w:lastRenderedPageBreak/>
        <w:t xml:space="preserve">Der </w:t>
      </w:r>
      <w:r w:rsidRPr="00AA2FF2">
        <w:rPr>
          <w:rFonts w:ascii="TheSansOffice" w:hAnsi="TheSansOffice"/>
          <w:i/>
          <w:sz w:val="24"/>
          <w:szCs w:val="24"/>
        </w:rPr>
        <w:t>Wirtschaftshochbau</w:t>
      </w:r>
      <w:r w:rsidRPr="00AA2FF2">
        <w:rPr>
          <w:rFonts w:ascii="TheSansOffice" w:hAnsi="TheSansOffice"/>
          <w:sz w:val="24"/>
          <w:szCs w:val="24"/>
        </w:rPr>
        <w:t xml:space="preserve"> korreliert stark mit der konjunkturellen Entwicklung in Deutschland. Diese stagniert seit vier Jahren. </w:t>
      </w:r>
      <w:r w:rsidR="00D412F2" w:rsidRPr="00AA2FF2">
        <w:rPr>
          <w:rFonts w:ascii="TheSansOffice" w:hAnsi="TheSansOffice"/>
          <w:sz w:val="24"/>
          <w:szCs w:val="24"/>
        </w:rPr>
        <w:t xml:space="preserve">In der öffentlichen Diskussion über die Herausforderungen im Wohnungsbau ist dabei etwas in den Hintergrund geraten, dass die Bauinvestitionen in Wirtschaftsgebäude seit 2020 real sogar stärker rückläufig sind (-11 </w:t>
      </w:r>
      <w:r w:rsidR="009D56AB" w:rsidRPr="00AA2FF2">
        <w:rPr>
          <w:rFonts w:ascii="TheSansOffice" w:hAnsi="TheSansOffice"/>
          <w:sz w:val="24"/>
          <w:szCs w:val="24"/>
        </w:rPr>
        <w:t>Prozent</w:t>
      </w:r>
      <w:r w:rsidR="00D412F2" w:rsidRPr="00AA2FF2">
        <w:rPr>
          <w:rFonts w:ascii="TheSansOffice" w:hAnsi="TheSansOffice"/>
          <w:sz w:val="24"/>
          <w:szCs w:val="24"/>
        </w:rPr>
        <w:t xml:space="preserve">) als im Wohnungsbau (-10 </w:t>
      </w:r>
      <w:r w:rsidR="009D56AB" w:rsidRPr="00AA2FF2">
        <w:rPr>
          <w:rFonts w:ascii="TheSansOffice" w:hAnsi="TheSansOffice"/>
          <w:sz w:val="24"/>
          <w:szCs w:val="24"/>
        </w:rPr>
        <w:t>Prozent</w:t>
      </w:r>
      <w:r w:rsidR="00D412F2" w:rsidRPr="00AA2FF2">
        <w:rPr>
          <w:rFonts w:ascii="TheSansOffice" w:hAnsi="TheSansOffice"/>
          <w:sz w:val="24"/>
          <w:szCs w:val="24"/>
        </w:rPr>
        <w:t xml:space="preserve">). </w:t>
      </w:r>
    </w:p>
    <w:p w14:paraId="3632258A" w14:textId="77777777" w:rsidR="006976EE" w:rsidRPr="00AA2FF2" w:rsidRDefault="00C92D6E" w:rsidP="00C92D6E">
      <w:pPr>
        <w:rPr>
          <w:rFonts w:ascii="TheSansOffice" w:hAnsi="TheSansOffice"/>
          <w:sz w:val="24"/>
          <w:szCs w:val="24"/>
        </w:rPr>
      </w:pPr>
      <w:r w:rsidRPr="00AA2FF2">
        <w:rPr>
          <w:rFonts w:ascii="TheSansOffice" w:hAnsi="TheSansOffice"/>
          <w:sz w:val="24"/>
          <w:szCs w:val="24"/>
        </w:rPr>
        <w:t>Angesichts</w:t>
      </w:r>
      <w:r w:rsidR="009355B7" w:rsidRPr="00AA2FF2">
        <w:rPr>
          <w:rFonts w:ascii="TheSansOffice" w:hAnsi="TheSansOffice"/>
          <w:sz w:val="24"/>
          <w:szCs w:val="24"/>
        </w:rPr>
        <w:t xml:space="preserve"> der stagnierenden Konjunkturentwicklung in Deutschland sind die Investitionsimpulse auf Maschinen und Geräte, aber auch Fabrikgebäude und Werkstatthallen, </w:t>
      </w:r>
      <w:r w:rsidRPr="00AA2FF2">
        <w:rPr>
          <w:rFonts w:ascii="TheSansOffice" w:hAnsi="TheSansOffice"/>
          <w:sz w:val="24"/>
          <w:szCs w:val="24"/>
        </w:rPr>
        <w:t xml:space="preserve">weiterhin </w:t>
      </w:r>
      <w:r w:rsidR="009355B7" w:rsidRPr="00AA2FF2">
        <w:rPr>
          <w:rFonts w:ascii="TheSansOffice" w:hAnsi="TheSansOffice"/>
          <w:sz w:val="24"/>
          <w:szCs w:val="24"/>
        </w:rPr>
        <w:t>schwach</w:t>
      </w:r>
      <w:r w:rsidRPr="00AA2FF2">
        <w:rPr>
          <w:rFonts w:ascii="TheSansOffice" w:hAnsi="TheSansOffice"/>
          <w:sz w:val="24"/>
          <w:szCs w:val="24"/>
        </w:rPr>
        <w:t xml:space="preserve">. Die Nachfrage nach Wirtschaftsgebäuden ist und bleibt zunächst gering, was sich auch in den Genehmigungszahlen (bemessen nach Tsd. cbm umbauter Raum) widerspiegelt: </w:t>
      </w:r>
    </w:p>
    <w:p w14:paraId="15430920" w14:textId="1C9ECB34" w:rsidR="009355B7" w:rsidRPr="00AA2FF2" w:rsidRDefault="00C92D6E" w:rsidP="00C92D6E">
      <w:pPr>
        <w:rPr>
          <w:rFonts w:ascii="TheSansOffice" w:hAnsi="TheSansOffice"/>
          <w:sz w:val="24"/>
          <w:szCs w:val="24"/>
        </w:rPr>
      </w:pPr>
      <w:r w:rsidRPr="00AA2FF2">
        <w:rPr>
          <w:rFonts w:ascii="TheSansOffice" w:hAnsi="TheSansOffice"/>
          <w:sz w:val="24"/>
          <w:szCs w:val="24"/>
        </w:rPr>
        <w:t xml:space="preserve">Bis September 2024 lag das Genehmigungsvolumen für </w:t>
      </w:r>
      <w:r w:rsidRPr="00AA2FF2">
        <w:rPr>
          <w:rFonts w:ascii="TheSansOffice" w:hAnsi="TheSansOffice"/>
          <w:i/>
          <w:iCs/>
          <w:sz w:val="24"/>
          <w:szCs w:val="24"/>
        </w:rPr>
        <w:t>Fabrik- und Werkstattgebäude</w:t>
      </w:r>
      <w:r w:rsidRPr="00AA2FF2">
        <w:rPr>
          <w:rFonts w:ascii="TheSansOffice" w:hAnsi="TheSansOffice"/>
          <w:sz w:val="24"/>
          <w:szCs w:val="24"/>
        </w:rPr>
        <w:t xml:space="preserve"> um 6,5 Prozent unter dem Vorjahreswert, und im Vergleich zum September 2020 haben wir fast ein Viertel des Genehmigungsvolumens verloren.</w:t>
      </w:r>
    </w:p>
    <w:p w14:paraId="47C1D5B5" w14:textId="3CD6EF15"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Bei </w:t>
      </w:r>
      <w:r w:rsidRPr="00AA2FF2">
        <w:rPr>
          <w:rFonts w:ascii="TheSansOffice" w:hAnsi="TheSansOffice"/>
          <w:i/>
          <w:iCs/>
          <w:sz w:val="24"/>
          <w:szCs w:val="24"/>
        </w:rPr>
        <w:t>Büroimmobilien</w:t>
      </w:r>
      <w:r w:rsidRPr="00AA2FF2">
        <w:rPr>
          <w:rFonts w:ascii="TheSansOffice" w:hAnsi="TheSansOffice"/>
          <w:sz w:val="24"/>
          <w:szCs w:val="24"/>
        </w:rPr>
        <w:t xml:space="preserve"> liegt das Minus zum Vorjahr bei 5 Prozent, gegenüber 2020 bei fast 30 Prozent.</w:t>
      </w:r>
      <w:r w:rsidR="00C92D6E" w:rsidRPr="00AA2FF2">
        <w:rPr>
          <w:rFonts w:ascii="TheSansOffice" w:hAnsi="TheSansOffice"/>
          <w:sz w:val="24"/>
          <w:szCs w:val="24"/>
        </w:rPr>
        <w:t xml:space="preserve"> Dieser Rückgang reflektiert neben der allgemeinen Konjunkturschwäche auch den anhaltenden Trend zum Homeoffice.</w:t>
      </w:r>
    </w:p>
    <w:p w14:paraId="72306CB9" w14:textId="0E9B31A4"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Nachfrage nach </w:t>
      </w:r>
      <w:r w:rsidRPr="00AA2FF2">
        <w:rPr>
          <w:rFonts w:ascii="TheSansOffice" w:hAnsi="TheSansOffice"/>
          <w:i/>
          <w:iCs/>
          <w:sz w:val="24"/>
          <w:szCs w:val="24"/>
        </w:rPr>
        <w:t>Hotel- und Gastronomieobjekten</w:t>
      </w:r>
      <w:r w:rsidRPr="00AA2FF2">
        <w:rPr>
          <w:rFonts w:ascii="TheSansOffice" w:hAnsi="TheSansOffice"/>
          <w:sz w:val="24"/>
          <w:szCs w:val="24"/>
        </w:rPr>
        <w:t xml:space="preserve"> ist in der Corona-Pandemie eingebrochen. Die hohe Inflation der letzten Jahre hat hier auf den Konsum gedrückt. Auch wenn es hier zum Vorjahr eine Steigerung um 13 </w:t>
      </w:r>
      <w:r w:rsidR="009D56AB" w:rsidRPr="00AA2FF2">
        <w:rPr>
          <w:rFonts w:ascii="TheSansOffice" w:hAnsi="TheSansOffice"/>
          <w:sz w:val="24"/>
          <w:szCs w:val="24"/>
        </w:rPr>
        <w:t>Prozent</w:t>
      </w:r>
      <w:r w:rsidRPr="00AA2FF2">
        <w:rPr>
          <w:rFonts w:ascii="TheSansOffice" w:hAnsi="TheSansOffice"/>
          <w:sz w:val="24"/>
          <w:szCs w:val="24"/>
        </w:rPr>
        <w:t xml:space="preserve"> gibt, beträgt der Rückgang zum Jahr 2020 ca. 40 Prozent. </w:t>
      </w:r>
    </w:p>
    <w:p w14:paraId="46C7EB98" w14:textId="0004DA34"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Auch die Nachfrage nach </w:t>
      </w:r>
      <w:r w:rsidRPr="00AA2FF2">
        <w:rPr>
          <w:rFonts w:ascii="TheSansOffice" w:hAnsi="TheSansOffice"/>
          <w:i/>
          <w:iCs/>
          <w:sz w:val="24"/>
          <w:szCs w:val="24"/>
        </w:rPr>
        <w:t>Handelsgebäuden</w:t>
      </w:r>
      <w:r w:rsidRPr="00AA2FF2">
        <w:rPr>
          <w:rFonts w:ascii="TheSansOffice" w:hAnsi="TheSansOffice"/>
          <w:sz w:val="24"/>
          <w:szCs w:val="24"/>
        </w:rPr>
        <w:t xml:space="preserve"> hat unter der hohen Inflation gelitten. Zum Vorjahr liegt der Rückgang noch einmal bei 13 Prozent</w:t>
      </w:r>
      <w:r w:rsidR="00D95A54" w:rsidRPr="00AA2FF2">
        <w:rPr>
          <w:rFonts w:ascii="TheSansOffice" w:hAnsi="TheSansOffice"/>
          <w:sz w:val="24"/>
          <w:szCs w:val="24"/>
        </w:rPr>
        <w:t>,</w:t>
      </w:r>
      <w:r w:rsidRPr="00AA2FF2">
        <w:rPr>
          <w:rFonts w:ascii="TheSansOffice" w:hAnsi="TheSansOffice"/>
          <w:sz w:val="24"/>
          <w:szCs w:val="24"/>
        </w:rPr>
        <w:t xml:space="preserve"> zur Basis 2020 haben wir hier 30 </w:t>
      </w:r>
      <w:r w:rsidR="009D56AB" w:rsidRPr="00AA2FF2">
        <w:rPr>
          <w:rFonts w:ascii="TheSansOffice" w:hAnsi="TheSansOffice"/>
          <w:sz w:val="24"/>
          <w:szCs w:val="24"/>
        </w:rPr>
        <w:t>Prozent</w:t>
      </w:r>
      <w:r w:rsidRPr="00AA2FF2">
        <w:rPr>
          <w:rFonts w:ascii="TheSansOffice" w:hAnsi="TheSansOffice"/>
          <w:sz w:val="24"/>
          <w:szCs w:val="24"/>
        </w:rPr>
        <w:t xml:space="preserve"> verloren.</w:t>
      </w:r>
    </w:p>
    <w:p w14:paraId="7EA5FFC1" w14:textId="77777777"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Einzig die Nachfrage nach </w:t>
      </w:r>
      <w:r w:rsidRPr="00AA2FF2">
        <w:rPr>
          <w:rFonts w:ascii="TheSansOffice" w:hAnsi="TheSansOffice"/>
          <w:i/>
          <w:iCs/>
          <w:sz w:val="24"/>
          <w:szCs w:val="24"/>
        </w:rPr>
        <w:t>Lagergebäuden</w:t>
      </w:r>
      <w:r w:rsidRPr="00AA2FF2">
        <w:rPr>
          <w:rFonts w:ascii="TheSansOffice" w:hAnsi="TheSansOffice"/>
          <w:sz w:val="24"/>
          <w:szCs w:val="24"/>
        </w:rPr>
        <w:t xml:space="preserve"> zeigt sich robust gegenüber den Krisenfolgen der letzten Jahre. Um den Lieferkettenabbruch zu puffern und dem steigenden Onlinehandel gerecht zu werden, hält die Nachfrage auf dem angestiegenen hohen Niveau.</w:t>
      </w:r>
    </w:p>
    <w:p w14:paraId="415191A3" w14:textId="16452B27"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hohe Inflation </w:t>
      </w:r>
      <w:r w:rsidR="00C92D6E" w:rsidRPr="00AA2FF2">
        <w:rPr>
          <w:rFonts w:ascii="TheSansOffice" w:hAnsi="TheSansOffice"/>
          <w:sz w:val="24"/>
          <w:szCs w:val="24"/>
        </w:rPr>
        <w:t>verdeckt</w:t>
      </w:r>
      <w:r w:rsidRPr="00AA2FF2">
        <w:rPr>
          <w:rFonts w:ascii="TheSansOffice" w:hAnsi="TheSansOffice"/>
          <w:sz w:val="24"/>
          <w:szCs w:val="24"/>
        </w:rPr>
        <w:t xml:space="preserve"> diesen realen Nachfrageeinbruch. Bemessen nach Baukosten liegt das Genehmigungsvolumen in Wirtschaftsbau nur um ein Prozent unter dem Vorjahresniveau; (und ca. 3 </w:t>
      </w:r>
      <w:r w:rsidR="009D56AB" w:rsidRPr="00AA2FF2">
        <w:rPr>
          <w:rFonts w:ascii="TheSansOffice" w:hAnsi="TheSansOffice"/>
          <w:sz w:val="24"/>
          <w:szCs w:val="24"/>
        </w:rPr>
        <w:t>Prozent</w:t>
      </w:r>
      <w:r w:rsidRPr="00AA2FF2">
        <w:rPr>
          <w:rFonts w:ascii="TheSansOffice" w:hAnsi="TheSansOffice"/>
          <w:sz w:val="24"/>
          <w:szCs w:val="24"/>
        </w:rPr>
        <w:t xml:space="preserve"> unter dem Niveau von 2020). </w:t>
      </w:r>
    </w:p>
    <w:p w14:paraId="714D043C" w14:textId="5754C24A"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Der Orderverlauf war dem Genehmigungsverlangen entsprechend im Jahresverlauf schwach ausgeprägt. Per September liegen die Order im Wirtschaftshochbau um ca. 7 </w:t>
      </w:r>
      <w:r w:rsidR="009D56AB" w:rsidRPr="00AA2FF2">
        <w:rPr>
          <w:rFonts w:ascii="TheSansOffice" w:hAnsi="TheSansOffice"/>
          <w:sz w:val="24"/>
          <w:szCs w:val="24"/>
        </w:rPr>
        <w:t>Prozent</w:t>
      </w:r>
      <w:r w:rsidRPr="00AA2FF2">
        <w:rPr>
          <w:rFonts w:ascii="TheSansOffice" w:hAnsi="TheSansOffice"/>
          <w:sz w:val="24"/>
          <w:szCs w:val="24"/>
        </w:rPr>
        <w:t xml:space="preserve"> unter dem Vorjahresniveau. Der Auftragsbestand hat zum Vorjahr um 2 </w:t>
      </w:r>
      <w:r w:rsidR="009D56AB" w:rsidRPr="00AA2FF2">
        <w:rPr>
          <w:rFonts w:ascii="TheSansOffice" w:hAnsi="TheSansOffice"/>
          <w:sz w:val="24"/>
          <w:szCs w:val="24"/>
        </w:rPr>
        <w:t>Prozent</w:t>
      </w:r>
      <w:r w:rsidRPr="00AA2FF2">
        <w:rPr>
          <w:rFonts w:ascii="TheSansOffice" w:hAnsi="TheSansOffice"/>
          <w:sz w:val="24"/>
          <w:szCs w:val="24"/>
        </w:rPr>
        <w:t xml:space="preserve"> abgenommen. Die Reichweite der Bestände hält bei gut 8 Monaten.</w:t>
      </w:r>
    </w:p>
    <w:p w14:paraId="32A872D3" w14:textId="2CBACFE0"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Für 2024 </w:t>
      </w:r>
      <w:r w:rsidR="00C92D6E" w:rsidRPr="00AA2FF2">
        <w:rPr>
          <w:rFonts w:ascii="TheSansOffice" w:hAnsi="TheSansOffice"/>
          <w:sz w:val="24"/>
          <w:szCs w:val="24"/>
        </w:rPr>
        <w:t>erwarten</w:t>
      </w:r>
      <w:r w:rsidRPr="00AA2FF2">
        <w:rPr>
          <w:rFonts w:ascii="TheSansOffice" w:hAnsi="TheSansOffice"/>
          <w:sz w:val="24"/>
          <w:szCs w:val="24"/>
        </w:rPr>
        <w:t xml:space="preserve"> wir im </w:t>
      </w:r>
      <w:r w:rsidRPr="00AA2FF2">
        <w:rPr>
          <w:rFonts w:ascii="TheSansOffice" w:hAnsi="TheSansOffice"/>
          <w:i/>
          <w:sz w:val="24"/>
          <w:szCs w:val="24"/>
        </w:rPr>
        <w:t>Wirtschaftshochbau</w:t>
      </w:r>
      <w:r w:rsidRPr="00AA2FF2">
        <w:rPr>
          <w:rFonts w:ascii="TheSansOffice" w:hAnsi="TheSansOffice"/>
          <w:sz w:val="24"/>
          <w:szCs w:val="24"/>
        </w:rPr>
        <w:t xml:space="preserve"> </w:t>
      </w:r>
      <w:r w:rsidR="00C92D6E" w:rsidRPr="00AA2FF2">
        <w:rPr>
          <w:rFonts w:ascii="TheSansOffice" w:hAnsi="TheSansOffice"/>
          <w:sz w:val="24"/>
          <w:szCs w:val="24"/>
        </w:rPr>
        <w:t>einen</w:t>
      </w:r>
      <w:r w:rsidRPr="00AA2FF2">
        <w:rPr>
          <w:rFonts w:ascii="TheSansOffice" w:hAnsi="TheSansOffice"/>
          <w:sz w:val="24"/>
          <w:szCs w:val="24"/>
        </w:rPr>
        <w:t xml:space="preserve"> </w:t>
      </w:r>
      <w:r w:rsidRPr="00AA2FF2">
        <w:rPr>
          <w:rFonts w:ascii="TheSansOffice" w:hAnsi="TheSansOffice"/>
          <w:i/>
          <w:sz w:val="24"/>
          <w:szCs w:val="24"/>
        </w:rPr>
        <w:t>Umsatz</w:t>
      </w:r>
      <w:r w:rsidRPr="00AA2FF2">
        <w:rPr>
          <w:rFonts w:ascii="TheSansOffice" w:hAnsi="TheSansOffice"/>
          <w:sz w:val="24"/>
          <w:szCs w:val="24"/>
        </w:rPr>
        <w:t xml:space="preserve"> </w:t>
      </w:r>
      <w:r w:rsidR="00C92D6E" w:rsidRPr="00AA2FF2">
        <w:rPr>
          <w:rFonts w:ascii="TheSansOffice" w:hAnsi="TheSansOffice"/>
          <w:sz w:val="24"/>
          <w:szCs w:val="24"/>
        </w:rPr>
        <w:t xml:space="preserve">von rund </w:t>
      </w:r>
      <w:r w:rsidRPr="00AA2FF2">
        <w:rPr>
          <w:rFonts w:ascii="TheSansOffice" w:hAnsi="TheSansOffice"/>
          <w:sz w:val="24"/>
          <w:szCs w:val="24"/>
        </w:rPr>
        <w:t xml:space="preserve">31 Mrd. Euro; </w:t>
      </w:r>
      <w:r w:rsidR="00C92D6E" w:rsidRPr="00AA2FF2">
        <w:rPr>
          <w:rFonts w:ascii="TheSansOffice" w:hAnsi="TheSansOffice"/>
          <w:sz w:val="24"/>
          <w:szCs w:val="24"/>
        </w:rPr>
        <w:t xml:space="preserve">was einem </w:t>
      </w:r>
      <w:r w:rsidRPr="00AA2FF2">
        <w:rPr>
          <w:rFonts w:ascii="TheSansOffice" w:hAnsi="TheSansOffice"/>
          <w:sz w:val="24"/>
          <w:szCs w:val="24"/>
        </w:rPr>
        <w:t>nominal</w:t>
      </w:r>
      <w:r w:rsidR="00C92D6E" w:rsidRPr="00AA2FF2">
        <w:rPr>
          <w:rFonts w:ascii="TheSansOffice" w:hAnsi="TheSansOffice"/>
          <w:sz w:val="24"/>
          <w:szCs w:val="24"/>
        </w:rPr>
        <w:t>en Rückgang von etwa 5 P</w:t>
      </w:r>
      <w:r w:rsidR="006976EE" w:rsidRPr="00AA2FF2">
        <w:rPr>
          <w:rFonts w:ascii="TheSansOffice" w:hAnsi="TheSansOffice"/>
          <w:sz w:val="24"/>
          <w:szCs w:val="24"/>
        </w:rPr>
        <w:t>r</w:t>
      </w:r>
      <w:r w:rsidR="00C92D6E" w:rsidRPr="00AA2FF2">
        <w:rPr>
          <w:rFonts w:ascii="TheSansOffice" w:hAnsi="TheSansOffice"/>
          <w:sz w:val="24"/>
          <w:szCs w:val="24"/>
        </w:rPr>
        <w:t>ozent und einem realen Minus von etwa 7 Prozent ent</w:t>
      </w:r>
      <w:r w:rsidR="006976EE" w:rsidRPr="00AA2FF2">
        <w:rPr>
          <w:rFonts w:ascii="TheSansOffice" w:hAnsi="TheSansOffice"/>
          <w:sz w:val="24"/>
          <w:szCs w:val="24"/>
        </w:rPr>
        <w:t>s</w:t>
      </w:r>
      <w:r w:rsidR="00C92D6E" w:rsidRPr="00AA2FF2">
        <w:rPr>
          <w:rFonts w:ascii="TheSansOffice" w:hAnsi="TheSansOffice"/>
          <w:sz w:val="24"/>
          <w:szCs w:val="24"/>
        </w:rPr>
        <w:t>pricht.</w:t>
      </w:r>
      <w:r w:rsidRPr="00AA2FF2">
        <w:rPr>
          <w:rFonts w:ascii="TheSansOffice" w:hAnsi="TheSansOffice"/>
          <w:sz w:val="24"/>
          <w:szCs w:val="24"/>
        </w:rPr>
        <w:t xml:space="preserve"> Für 2025 rechnen wir mit einem weiteren Rückgang um nominal 2 </w:t>
      </w:r>
      <w:r w:rsidR="009D56AB" w:rsidRPr="00AA2FF2">
        <w:rPr>
          <w:rFonts w:ascii="TheSansOffice" w:hAnsi="TheSansOffice"/>
          <w:sz w:val="24"/>
          <w:szCs w:val="24"/>
        </w:rPr>
        <w:t>Prozent</w:t>
      </w:r>
      <w:r w:rsidRPr="00AA2FF2">
        <w:rPr>
          <w:rFonts w:ascii="TheSansOffice" w:hAnsi="TheSansOffice"/>
          <w:sz w:val="24"/>
          <w:szCs w:val="24"/>
        </w:rPr>
        <w:t xml:space="preserve">, real um 4,5 </w:t>
      </w:r>
      <w:r w:rsidR="009D56AB" w:rsidRPr="00AA2FF2">
        <w:rPr>
          <w:rFonts w:ascii="TheSansOffice" w:hAnsi="TheSansOffice"/>
          <w:sz w:val="24"/>
          <w:szCs w:val="24"/>
        </w:rPr>
        <w:t>Prozent</w:t>
      </w:r>
      <w:r w:rsidRPr="00AA2FF2">
        <w:rPr>
          <w:rFonts w:ascii="TheSansOffice" w:hAnsi="TheSansOffice"/>
          <w:sz w:val="24"/>
          <w:szCs w:val="24"/>
        </w:rPr>
        <w:t xml:space="preserve">, was einem Umsatz von ca. 30,2 Mrd. Euro entspricht. </w:t>
      </w:r>
    </w:p>
    <w:p w14:paraId="0349DA67" w14:textId="26C445B3" w:rsidR="009355B7" w:rsidRPr="00AA2FF2" w:rsidRDefault="00937E29" w:rsidP="009355B7">
      <w:pPr>
        <w:rPr>
          <w:rFonts w:ascii="TheSansOffice" w:hAnsi="TheSansOffice"/>
          <w:sz w:val="24"/>
          <w:szCs w:val="24"/>
        </w:rPr>
      </w:pPr>
      <w:r w:rsidRPr="00AA2FF2">
        <w:rPr>
          <w:rFonts w:ascii="TheSansOffice" w:hAnsi="TheSansOffice"/>
          <w:sz w:val="24"/>
          <w:szCs w:val="24"/>
        </w:rPr>
        <w:t xml:space="preserve">Im Gegensatz dazu erlebt der </w:t>
      </w:r>
      <w:r w:rsidR="009355B7" w:rsidRPr="00AA2FF2">
        <w:rPr>
          <w:rFonts w:ascii="TheSansOffice" w:hAnsi="TheSansOffice"/>
          <w:i/>
          <w:sz w:val="24"/>
          <w:szCs w:val="24"/>
        </w:rPr>
        <w:t>Wirtschaftstiefbau</w:t>
      </w:r>
      <w:r w:rsidR="009355B7" w:rsidRPr="00AA2FF2">
        <w:rPr>
          <w:rFonts w:ascii="TheSansOffice" w:hAnsi="TheSansOffice"/>
          <w:sz w:val="24"/>
          <w:szCs w:val="24"/>
        </w:rPr>
        <w:t xml:space="preserve"> eine Sonderkonjunktur</w:t>
      </w:r>
      <w:r w:rsidRPr="00AA2FF2">
        <w:rPr>
          <w:rFonts w:ascii="TheSansOffice" w:hAnsi="TheSansOffice"/>
          <w:sz w:val="24"/>
          <w:szCs w:val="24"/>
        </w:rPr>
        <w:t>,</w:t>
      </w:r>
      <w:r w:rsidR="006976EE" w:rsidRPr="00AA2FF2">
        <w:rPr>
          <w:rFonts w:ascii="TheSansOffice" w:hAnsi="TheSansOffice"/>
          <w:sz w:val="24"/>
          <w:szCs w:val="24"/>
        </w:rPr>
        <w:t xml:space="preserve"> </w:t>
      </w:r>
      <w:r w:rsidRPr="00AA2FF2">
        <w:rPr>
          <w:rFonts w:ascii="TheSansOffice" w:hAnsi="TheSansOffice"/>
          <w:sz w:val="24"/>
          <w:szCs w:val="24"/>
        </w:rPr>
        <w:t xml:space="preserve">die von </w:t>
      </w:r>
      <w:r w:rsidR="009355B7" w:rsidRPr="00AA2FF2">
        <w:rPr>
          <w:rFonts w:ascii="TheSansOffice" w:hAnsi="TheSansOffice"/>
          <w:sz w:val="24"/>
          <w:szCs w:val="24"/>
        </w:rPr>
        <w:t xml:space="preserve">einer anhaltend hohen Nachfrage </w:t>
      </w:r>
      <w:r w:rsidRPr="00AA2FF2">
        <w:rPr>
          <w:rFonts w:ascii="TheSansOffice" w:hAnsi="TheSansOffice"/>
          <w:sz w:val="24"/>
          <w:szCs w:val="24"/>
        </w:rPr>
        <w:t>getragen wird. Zu den treibenden Kräften zählen</w:t>
      </w:r>
      <w:r w:rsidR="009355B7" w:rsidRPr="00AA2FF2">
        <w:rPr>
          <w:rFonts w:ascii="TheSansOffice" w:hAnsi="TheSansOffice"/>
          <w:sz w:val="24"/>
          <w:szCs w:val="24"/>
        </w:rPr>
        <w:t>:</w:t>
      </w:r>
    </w:p>
    <w:p w14:paraId="434C5B6A" w14:textId="77777777" w:rsidR="009355B7" w:rsidRPr="00AA2FF2" w:rsidRDefault="009355B7" w:rsidP="009355B7">
      <w:pPr>
        <w:pStyle w:val="Listenabsatz"/>
        <w:numPr>
          <w:ilvl w:val="0"/>
          <w:numId w:val="7"/>
        </w:numPr>
        <w:rPr>
          <w:rFonts w:ascii="TheSansOffice" w:hAnsi="TheSansOffice"/>
          <w:sz w:val="24"/>
          <w:szCs w:val="24"/>
        </w:rPr>
      </w:pPr>
      <w:r w:rsidRPr="00AA2FF2">
        <w:rPr>
          <w:rFonts w:ascii="TheSansOffice" w:hAnsi="TheSansOffice"/>
          <w:sz w:val="24"/>
          <w:szCs w:val="24"/>
        </w:rPr>
        <w:t xml:space="preserve">die angestrebte Wende beim Infrastrukturausbau, die zu erhöhten Investitionen beim Schienenausbau und dem ÖPNV führt, </w:t>
      </w:r>
    </w:p>
    <w:p w14:paraId="635BBB9D" w14:textId="77777777" w:rsidR="009355B7" w:rsidRPr="00AA2FF2" w:rsidRDefault="009355B7" w:rsidP="009355B7">
      <w:pPr>
        <w:pStyle w:val="Listenabsatz"/>
        <w:numPr>
          <w:ilvl w:val="0"/>
          <w:numId w:val="7"/>
        </w:numPr>
        <w:rPr>
          <w:rFonts w:ascii="TheSansOffice" w:hAnsi="TheSansOffice"/>
          <w:sz w:val="24"/>
          <w:szCs w:val="24"/>
        </w:rPr>
      </w:pPr>
      <w:r w:rsidRPr="00AA2FF2">
        <w:rPr>
          <w:rFonts w:ascii="TheSansOffice" w:hAnsi="TheSansOffice"/>
          <w:sz w:val="24"/>
          <w:szCs w:val="24"/>
        </w:rPr>
        <w:lastRenderedPageBreak/>
        <w:t xml:space="preserve">die Energiewende, die insbesondere den massiven Ausbau des </w:t>
      </w:r>
      <w:proofErr w:type="spellStart"/>
      <w:r w:rsidRPr="00AA2FF2">
        <w:rPr>
          <w:rFonts w:ascii="TheSansOffice" w:hAnsi="TheSansOffice"/>
          <w:sz w:val="24"/>
          <w:szCs w:val="24"/>
        </w:rPr>
        <w:t>Stromtrassennetzes</w:t>
      </w:r>
      <w:proofErr w:type="spellEnd"/>
      <w:r w:rsidRPr="00AA2FF2">
        <w:rPr>
          <w:rFonts w:ascii="TheSansOffice" w:hAnsi="TheSansOffice"/>
          <w:sz w:val="24"/>
          <w:szCs w:val="24"/>
        </w:rPr>
        <w:t xml:space="preserve"> erfordert, und</w:t>
      </w:r>
    </w:p>
    <w:p w14:paraId="5139592A" w14:textId="4744A721" w:rsidR="009355B7" w:rsidRPr="00AA2FF2" w:rsidRDefault="009355B7" w:rsidP="009355B7">
      <w:pPr>
        <w:pStyle w:val="Listenabsatz"/>
        <w:numPr>
          <w:ilvl w:val="0"/>
          <w:numId w:val="7"/>
        </w:numPr>
        <w:rPr>
          <w:rFonts w:ascii="TheSansOffice" w:hAnsi="TheSansOffice"/>
          <w:sz w:val="24"/>
          <w:szCs w:val="24"/>
        </w:rPr>
      </w:pPr>
      <w:r w:rsidRPr="00AA2FF2">
        <w:rPr>
          <w:rFonts w:ascii="TheSansOffice" w:hAnsi="TheSansOffice"/>
          <w:sz w:val="24"/>
          <w:szCs w:val="24"/>
        </w:rPr>
        <w:t>der Breitbandausbau, ohne den die angestrebte Digitalisierung vieler Bereiche der Volkswirtschaft nicht gelingen kann.</w:t>
      </w:r>
    </w:p>
    <w:p w14:paraId="201E8603" w14:textId="1477C32D" w:rsidR="009355B7" w:rsidRPr="00AA2FF2" w:rsidRDefault="009355B7" w:rsidP="009355B7">
      <w:pPr>
        <w:rPr>
          <w:rFonts w:ascii="TheSansOffice" w:hAnsi="TheSansOffice"/>
          <w:sz w:val="24"/>
          <w:szCs w:val="24"/>
        </w:rPr>
      </w:pPr>
      <w:r w:rsidRPr="00AA2FF2">
        <w:rPr>
          <w:rFonts w:ascii="TheSansOffice" w:hAnsi="TheSansOffice"/>
          <w:sz w:val="24"/>
          <w:szCs w:val="24"/>
        </w:rPr>
        <w:t>Allen Faktoren ist gemeinsam</w:t>
      </w:r>
      <w:r w:rsidR="00937E29" w:rsidRPr="00AA2FF2">
        <w:rPr>
          <w:rFonts w:ascii="TheSansOffice" w:hAnsi="TheSansOffice"/>
          <w:sz w:val="24"/>
          <w:szCs w:val="24"/>
        </w:rPr>
        <w:t xml:space="preserve">, dass sie </w:t>
      </w:r>
      <w:r w:rsidRPr="00AA2FF2">
        <w:rPr>
          <w:rFonts w:ascii="TheSansOffice" w:hAnsi="TheSansOffice"/>
          <w:sz w:val="24"/>
          <w:szCs w:val="24"/>
        </w:rPr>
        <w:t xml:space="preserve">mittel- bis langfristig </w:t>
      </w:r>
      <w:r w:rsidR="00937E29" w:rsidRPr="00AA2FF2">
        <w:rPr>
          <w:rFonts w:ascii="TheSansOffice" w:hAnsi="TheSansOffice"/>
          <w:sz w:val="24"/>
          <w:szCs w:val="24"/>
        </w:rPr>
        <w:t xml:space="preserve">wirken und die Nachfrage nach Bauleistungen nachhaltig stützen. </w:t>
      </w:r>
      <w:r w:rsidRPr="00AA2FF2">
        <w:rPr>
          <w:rFonts w:ascii="TheSansOffice" w:hAnsi="TheSansOffice"/>
          <w:sz w:val="24"/>
          <w:szCs w:val="24"/>
        </w:rPr>
        <w:t>Vielfach handelt es sich dabei um Großprojekte.</w:t>
      </w:r>
    </w:p>
    <w:p w14:paraId="4E07EE31" w14:textId="2D5244F0"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Die Order haben </w:t>
      </w:r>
      <w:r w:rsidR="00937E29" w:rsidRPr="00AA2FF2">
        <w:rPr>
          <w:rFonts w:ascii="TheSansOffice" w:hAnsi="TheSansOffice"/>
          <w:sz w:val="24"/>
          <w:szCs w:val="24"/>
        </w:rPr>
        <w:t>in diesem</w:t>
      </w:r>
      <w:r w:rsidRPr="00AA2FF2">
        <w:rPr>
          <w:rFonts w:ascii="TheSansOffice" w:hAnsi="TheSansOffice"/>
          <w:sz w:val="24"/>
          <w:szCs w:val="24"/>
        </w:rPr>
        <w:t xml:space="preserve"> Jahr ein stabil hohes Niveau gehalten. Der Auftragsbestand </w:t>
      </w:r>
      <w:r w:rsidR="00937E29" w:rsidRPr="00AA2FF2">
        <w:rPr>
          <w:rFonts w:ascii="TheSansOffice" w:hAnsi="TheSansOffice"/>
          <w:sz w:val="24"/>
          <w:szCs w:val="24"/>
        </w:rPr>
        <w:t xml:space="preserve">stieg im Vergleich </w:t>
      </w:r>
      <w:r w:rsidRPr="00AA2FF2">
        <w:rPr>
          <w:rFonts w:ascii="TheSansOffice" w:hAnsi="TheSansOffice"/>
          <w:sz w:val="24"/>
          <w:szCs w:val="24"/>
        </w:rPr>
        <w:t>zum Vorjahr um 20</w:t>
      </w:r>
      <w:r w:rsidR="00937E29" w:rsidRPr="00AA2FF2">
        <w:rPr>
          <w:rFonts w:ascii="TheSansOffice" w:hAnsi="TheSansOffice"/>
          <w:sz w:val="24"/>
          <w:szCs w:val="24"/>
        </w:rPr>
        <w:t xml:space="preserve"> Prozent und die </w:t>
      </w:r>
      <w:r w:rsidRPr="00AA2FF2">
        <w:rPr>
          <w:rFonts w:ascii="TheSansOffice" w:hAnsi="TheSansOffice"/>
          <w:sz w:val="24"/>
          <w:szCs w:val="24"/>
        </w:rPr>
        <w:t xml:space="preserve">Reichweite der Bestände </w:t>
      </w:r>
      <w:r w:rsidR="00937E29" w:rsidRPr="00AA2FF2">
        <w:rPr>
          <w:rFonts w:ascii="TheSansOffice" w:hAnsi="TheSansOffice"/>
          <w:sz w:val="24"/>
          <w:szCs w:val="24"/>
        </w:rPr>
        <w:t>erhöhte sich von etwa</w:t>
      </w:r>
      <w:r w:rsidRPr="00AA2FF2">
        <w:rPr>
          <w:rFonts w:ascii="TheSansOffice" w:hAnsi="TheSansOffice"/>
          <w:sz w:val="24"/>
          <w:szCs w:val="24"/>
        </w:rPr>
        <w:t xml:space="preserve"> 9 Monaten auf ca. 10 Monate</w:t>
      </w:r>
      <w:r w:rsidR="00937E29" w:rsidRPr="00AA2FF2">
        <w:rPr>
          <w:rFonts w:ascii="TheSansOffice" w:hAnsi="TheSansOffice"/>
          <w:sz w:val="24"/>
          <w:szCs w:val="24"/>
        </w:rPr>
        <w:t>, was einem Zuwachs von 10 Prozent entspricht.</w:t>
      </w:r>
    </w:p>
    <w:p w14:paraId="2149A41F" w14:textId="0DB87161"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Für 2024 rechnen wir im </w:t>
      </w:r>
      <w:r w:rsidRPr="00AA2FF2">
        <w:rPr>
          <w:rFonts w:ascii="TheSansOffice" w:hAnsi="TheSansOffice"/>
          <w:i/>
          <w:sz w:val="24"/>
          <w:szCs w:val="24"/>
        </w:rPr>
        <w:t>Wirtschaftstiefbau</w:t>
      </w:r>
      <w:r w:rsidRPr="00AA2FF2">
        <w:rPr>
          <w:rFonts w:ascii="TheSansOffice" w:hAnsi="TheSansOffice"/>
          <w:sz w:val="24"/>
          <w:szCs w:val="24"/>
        </w:rPr>
        <w:t xml:space="preserve"> mit einem </w:t>
      </w:r>
      <w:r w:rsidRPr="00AA2FF2">
        <w:rPr>
          <w:rFonts w:ascii="TheSansOffice" w:hAnsi="TheSansOffice"/>
          <w:i/>
          <w:sz w:val="24"/>
          <w:szCs w:val="24"/>
        </w:rPr>
        <w:t>Umsatz</w:t>
      </w:r>
      <w:r w:rsidRPr="00AA2FF2">
        <w:rPr>
          <w:rFonts w:ascii="TheSansOffice" w:hAnsi="TheSansOffice"/>
          <w:sz w:val="24"/>
          <w:szCs w:val="24"/>
        </w:rPr>
        <w:t xml:space="preserve"> bei 30,7 Mrd. Euro; nominal ca. + 11 </w:t>
      </w:r>
      <w:r w:rsidR="009D56AB" w:rsidRPr="00AA2FF2">
        <w:rPr>
          <w:rFonts w:ascii="TheSansOffice" w:hAnsi="TheSansOffice"/>
          <w:sz w:val="24"/>
          <w:szCs w:val="24"/>
        </w:rPr>
        <w:t>Prozent</w:t>
      </w:r>
      <w:r w:rsidRPr="00AA2FF2">
        <w:rPr>
          <w:rFonts w:ascii="TheSansOffice" w:hAnsi="TheSansOffice"/>
          <w:sz w:val="24"/>
          <w:szCs w:val="24"/>
        </w:rPr>
        <w:t xml:space="preserve">, real ca. +9,0 </w:t>
      </w:r>
      <w:r w:rsidR="009D56AB" w:rsidRPr="00AA2FF2">
        <w:rPr>
          <w:rFonts w:ascii="TheSansOffice" w:hAnsi="TheSansOffice"/>
          <w:sz w:val="24"/>
          <w:szCs w:val="24"/>
        </w:rPr>
        <w:t>Prozent</w:t>
      </w:r>
      <w:r w:rsidRPr="00AA2FF2">
        <w:rPr>
          <w:rFonts w:ascii="TheSansOffice" w:hAnsi="TheSansOffice"/>
          <w:sz w:val="24"/>
          <w:szCs w:val="24"/>
        </w:rPr>
        <w:t xml:space="preserve">. Für 2025 erwarten wir ein weiteres Wachstum um nominal 7 </w:t>
      </w:r>
      <w:r w:rsidR="009D56AB" w:rsidRPr="00AA2FF2">
        <w:rPr>
          <w:rFonts w:ascii="TheSansOffice" w:hAnsi="TheSansOffice"/>
          <w:sz w:val="24"/>
          <w:szCs w:val="24"/>
        </w:rPr>
        <w:t>Prozent</w:t>
      </w:r>
      <w:r w:rsidRPr="00AA2FF2">
        <w:rPr>
          <w:rFonts w:ascii="TheSansOffice" w:hAnsi="TheSansOffice"/>
          <w:sz w:val="24"/>
          <w:szCs w:val="24"/>
        </w:rPr>
        <w:t xml:space="preserve">, was einem Umsatz von knapp 33 Mrd. Euro entspricht. Damit würde der Umsatz im Wirtschaftstiefbau erstmals </w:t>
      </w:r>
      <w:r w:rsidR="00937E29" w:rsidRPr="00AA2FF2">
        <w:rPr>
          <w:rFonts w:ascii="TheSansOffice" w:hAnsi="TheSansOffice"/>
          <w:sz w:val="24"/>
          <w:szCs w:val="24"/>
        </w:rPr>
        <w:t xml:space="preserve">den </w:t>
      </w:r>
      <w:r w:rsidRPr="00AA2FF2">
        <w:rPr>
          <w:rFonts w:ascii="TheSansOffice" w:hAnsi="TheSansOffice"/>
          <w:sz w:val="24"/>
          <w:szCs w:val="24"/>
        </w:rPr>
        <w:t xml:space="preserve">des Wirtschaftshochbaus </w:t>
      </w:r>
      <w:r w:rsidR="00937E29" w:rsidRPr="00AA2FF2">
        <w:rPr>
          <w:rFonts w:ascii="TheSansOffice" w:hAnsi="TheSansOffice"/>
          <w:sz w:val="24"/>
          <w:szCs w:val="24"/>
        </w:rPr>
        <w:t>übertreffen</w:t>
      </w:r>
      <w:r w:rsidRPr="00AA2FF2">
        <w:rPr>
          <w:rFonts w:ascii="TheSansOffice" w:hAnsi="TheSansOffice"/>
          <w:sz w:val="24"/>
          <w:szCs w:val="24"/>
        </w:rPr>
        <w:t xml:space="preserve">. </w:t>
      </w:r>
    </w:p>
    <w:p w14:paraId="2129F655" w14:textId="2F5B4AC2" w:rsidR="009355B7" w:rsidRPr="00AA2FF2" w:rsidRDefault="009355B7" w:rsidP="00BE0238">
      <w:pPr>
        <w:spacing w:after="360"/>
        <w:rPr>
          <w:rFonts w:ascii="TheSansOffice" w:hAnsi="TheSansOffice"/>
          <w:sz w:val="24"/>
          <w:szCs w:val="24"/>
        </w:rPr>
      </w:pPr>
      <w:r w:rsidRPr="00AA2FF2">
        <w:rPr>
          <w:rFonts w:ascii="TheSansOffice" w:hAnsi="TheSansOffice"/>
          <w:sz w:val="24"/>
          <w:szCs w:val="24"/>
        </w:rPr>
        <w:t xml:space="preserve">Der </w:t>
      </w:r>
      <w:r w:rsidRPr="00AA2FF2">
        <w:rPr>
          <w:rFonts w:ascii="TheSansOffice" w:hAnsi="TheSansOffice"/>
          <w:i/>
          <w:sz w:val="24"/>
          <w:szCs w:val="24"/>
        </w:rPr>
        <w:t>Umsatz im Wirtschaftsbau</w:t>
      </w:r>
      <w:r w:rsidRPr="00AA2FF2">
        <w:rPr>
          <w:rFonts w:ascii="TheSansOffice" w:hAnsi="TheSansOffice"/>
          <w:sz w:val="24"/>
          <w:szCs w:val="24"/>
        </w:rPr>
        <w:t xml:space="preserve"> insgesamt erreicht nach unserer Hochrechnung 2024 ca. 61,5 Mrd. Euro; nominal +2,4 </w:t>
      </w:r>
      <w:r w:rsidR="009D56AB" w:rsidRPr="00AA2FF2">
        <w:rPr>
          <w:rFonts w:ascii="TheSansOffice" w:hAnsi="TheSansOffice"/>
          <w:sz w:val="24"/>
          <w:szCs w:val="24"/>
        </w:rPr>
        <w:t>Prozent</w:t>
      </w:r>
      <w:r w:rsidRPr="00AA2FF2">
        <w:rPr>
          <w:rFonts w:ascii="TheSansOffice" w:hAnsi="TheSansOffice"/>
          <w:sz w:val="24"/>
          <w:szCs w:val="24"/>
        </w:rPr>
        <w:t xml:space="preserve">, real ca. +0,4 </w:t>
      </w:r>
      <w:r w:rsidR="009D56AB" w:rsidRPr="00AA2FF2">
        <w:rPr>
          <w:rFonts w:ascii="TheSansOffice" w:hAnsi="TheSansOffice"/>
          <w:sz w:val="24"/>
          <w:szCs w:val="24"/>
        </w:rPr>
        <w:t>Prozent</w:t>
      </w:r>
      <w:r w:rsidRPr="00AA2FF2">
        <w:rPr>
          <w:rFonts w:ascii="TheSansOffice" w:hAnsi="TheSansOffice"/>
          <w:sz w:val="24"/>
          <w:szCs w:val="24"/>
        </w:rPr>
        <w:t xml:space="preserve">. Für 2025 erwarten wir eine Umsatzsteigerung im Wirtschaftsbau um nominal 2,5 </w:t>
      </w:r>
      <w:r w:rsidR="009D56AB" w:rsidRPr="00AA2FF2">
        <w:rPr>
          <w:rFonts w:ascii="TheSansOffice" w:hAnsi="TheSansOffice"/>
          <w:sz w:val="24"/>
          <w:szCs w:val="24"/>
        </w:rPr>
        <w:t>Prozent</w:t>
      </w:r>
      <w:r w:rsidRPr="00AA2FF2">
        <w:rPr>
          <w:rFonts w:ascii="TheSansOffice" w:hAnsi="TheSansOffice"/>
          <w:sz w:val="24"/>
          <w:szCs w:val="24"/>
        </w:rPr>
        <w:t xml:space="preserve"> auf 63,0 Mrd. Euro. </w:t>
      </w:r>
      <w:r w:rsidR="00937E29" w:rsidRPr="00AA2FF2">
        <w:rPr>
          <w:rFonts w:ascii="TheSansOffice" w:hAnsi="TheSansOffice"/>
          <w:sz w:val="24"/>
          <w:szCs w:val="24"/>
        </w:rPr>
        <w:t>Die starken Zuwächse im Wirtschaftstiefbau gleichen dabei die erwarteten Rückgänge im Wirtschaftshochbau mehr als aus. Real bleibt das Umsatzvolumen im Wirtschaftsbau damit auf dem Niveau von 2024.</w:t>
      </w:r>
    </w:p>
    <w:p w14:paraId="48BEE846" w14:textId="77777777" w:rsidR="009355B7" w:rsidRPr="00AA2FF2" w:rsidRDefault="009355B7" w:rsidP="009355B7">
      <w:pPr>
        <w:rPr>
          <w:rFonts w:ascii="TheSansOffice" w:hAnsi="TheSansOffice"/>
          <w:b/>
          <w:i/>
          <w:sz w:val="24"/>
          <w:szCs w:val="24"/>
        </w:rPr>
      </w:pPr>
      <w:r w:rsidRPr="00AA2FF2">
        <w:rPr>
          <w:rFonts w:ascii="TheSansOffice" w:hAnsi="TheSansOffice"/>
          <w:b/>
          <w:i/>
          <w:sz w:val="24"/>
          <w:szCs w:val="24"/>
        </w:rPr>
        <w:t>Öffentlicher Bau</w:t>
      </w:r>
    </w:p>
    <w:p w14:paraId="5EE19D3E" w14:textId="161601EF" w:rsidR="009355B7" w:rsidRPr="00AA2FF2" w:rsidRDefault="009355B7" w:rsidP="009355B7">
      <w:pPr>
        <w:rPr>
          <w:rFonts w:ascii="TheSansOffice" w:hAnsi="TheSansOffice"/>
          <w:bCs/>
          <w:sz w:val="24"/>
          <w:szCs w:val="24"/>
        </w:rPr>
      </w:pPr>
      <w:r w:rsidRPr="00AA2FF2">
        <w:rPr>
          <w:rFonts w:ascii="TheSansOffice" w:hAnsi="TheSansOffice"/>
          <w:bCs/>
          <w:sz w:val="24"/>
          <w:szCs w:val="24"/>
        </w:rPr>
        <w:t xml:space="preserve">Es ist Aufgabe der öffentlichen Hand, für eine intakte öffentliche Infrastruktur zu sorgen. </w:t>
      </w:r>
      <w:r w:rsidR="00937E29" w:rsidRPr="00AA2FF2">
        <w:rPr>
          <w:rFonts w:ascii="TheSansOffice" w:hAnsi="TheSansOffice"/>
          <w:bCs/>
          <w:sz w:val="24"/>
          <w:szCs w:val="24"/>
        </w:rPr>
        <w:t xml:space="preserve">Doch es zeigt sich in vielerlei Hinsicht, dass Bund, Länder und Kommunen dieser Aufgabe in den vergangenen Jahren nicht ausreichend nachgekommen sind. Der jüngste Einsturz der Carola-Brücke in Dresden ist ein eindrückliches Beispiel und fügt sich nahtlos in die Berichte über den Zustand der deutschen Infrastruktur ein. </w:t>
      </w:r>
    </w:p>
    <w:p w14:paraId="105A4F3C" w14:textId="46C31937" w:rsidR="009355B7" w:rsidRPr="00AA2FF2" w:rsidRDefault="009355B7" w:rsidP="009355B7">
      <w:pPr>
        <w:rPr>
          <w:rFonts w:ascii="TheSansOffice" w:hAnsi="TheSansOffice"/>
          <w:bCs/>
          <w:sz w:val="24"/>
          <w:szCs w:val="24"/>
        </w:rPr>
      </w:pPr>
      <w:r w:rsidRPr="00AA2FF2">
        <w:rPr>
          <w:rFonts w:ascii="TheSansOffice" w:hAnsi="TheSansOffice"/>
          <w:bCs/>
          <w:sz w:val="24"/>
          <w:szCs w:val="24"/>
        </w:rPr>
        <w:t xml:space="preserve">Der Bundesrechnungshof attestiert dem Bund, </w:t>
      </w:r>
      <w:r w:rsidR="00705238" w:rsidRPr="00AA2FF2">
        <w:rPr>
          <w:rFonts w:ascii="TheSansOffice" w:hAnsi="TheSansOffice"/>
          <w:bCs/>
          <w:sz w:val="24"/>
          <w:szCs w:val="24"/>
        </w:rPr>
        <w:t xml:space="preserve">seine Vorhaben </w:t>
      </w:r>
      <w:r w:rsidRPr="00AA2FF2">
        <w:rPr>
          <w:rFonts w:ascii="TheSansOffice" w:hAnsi="TheSansOffice"/>
          <w:bCs/>
          <w:sz w:val="24"/>
          <w:szCs w:val="24"/>
        </w:rPr>
        <w:t xml:space="preserve">nicht annähernd umsetzen zu können, bis 2035 ca. 4.500 Brückenbauwerke zu sanieren, die besonders dringlich sind. Der eigene Anspruch, die Schlagzahl der Sanierungsprojekte von 200 Brücken auf 400 Brücken ab 2026 zu erreichen, wird verfehlt. </w:t>
      </w:r>
      <w:r w:rsidR="002D2648" w:rsidRPr="00AA2FF2">
        <w:rPr>
          <w:rFonts w:ascii="TheSansOffice" w:hAnsi="TheSansOffice"/>
          <w:bCs/>
          <w:sz w:val="24"/>
          <w:szCs w:val="24"/>
        </w:rPr>
        <w:t xml:space="preserve">Ähnlich schleppend verläuft die Umsetzung des </w:t>
      </w:r>
      <w:r w:rsidRPr="00AA2FF2">
        <w:rPr>
          <w:rFonts w:ascii="TheSansOffice" w:hAnsi="TheSansOffice"/>
          <w:bCs/>
          <w:sz w:val="24"/>
          <w:szCs w:val="24"/>
        </w:rPr>
        <w:t>Bundesverkehrswegeplanes 2025.</w:t>
      </w:r>
    </w:p>
    <w:p w14:paraId="739E6000" w14:textId="45AB221B" w:rsidR="009355B7" w:rsidRPr="00AA2FF2" w:rsidRDefault="009355B7" w:rsidP="009355B7">
      <w:pPr>
        <w:rPr>
          <w:rFonts w:ascii="TheSansOffice" w:hAnsi="TheSansOffice"/>
          <w:bCs/>
          <w:sz w:val="24"/>
          <w:szCs w:val="24"/>
        </w:rPr>
      </w:pPr>
      <w:r w:rsidRPr="00AA2FF2">
        <w:rPr>
          <w:rFonts w:ascii="TheSansOffice" w:hAnsi="TheSansOffice"/>
          <w:bCs/>
          <w:sz w:val="24"/>
          <w:szCs w:val="24"/>
        </w:rPr>
        <w:t>Der Abbau des Investitionstaus bei der öffentlichen Infrastruktur hängt</w:t>
      </w:r>
      <w:r w:rsidR="002D2648" w:rsidRPr="00AA2FF2">
        <w:rPr>
          <w:rFonts w:ascii="TheSansOffice" w:hAnsi="TheSansOffice"/>
          <w:bCs/>
          <w:sz w:val="24"/>
          <w:szCs w:val="24"/>
        </w:rPr>
        <w:t xml:space="preserve"> maßgeblich von</w:t>
      </w:r>
      <w:r w:rsidRPr="00AA2FF2">
        <w:rPr>
          <w:rFonts w:ascii="TheSansOffice" w:hAnsi="TheSansOffice"/>
          <w:bCs/>
          <w:sz w:val="24"/>
          <w:szCs w:val="24"/>
        </w:rPr>
        <w:t xml:space="preserve"> den </w:t>
      </w:r>
      <w:proofErr w:type="spellStart"/>
      <w:r w:rsidRPr="00AA2FF2">
        <w:rPr>
          <w:rFonts w:ascii="TheSansOffice" w:hAnsi="TheSansOffice"/>
          <w:bCs/>
          <w:sz w:val="24"/>
          <w:szCs w:val="24"/>
        </w:rPr>
        <w:t>B</w:t>
      </w:r>
      <w:r w:rsidR="002D2648" w:rsidRPr="00AA2FF2">
        <w:rPr>
          <w:rFonts w:ascii="TheSansOffice" w:hAnsi="TheSansOffice"/>
          <w:bCs/>
          <w:sz w:val="24"/>
          <w:szCs w:val="24"/>
        </w:rPr>
        <w:t>auetats</w:t>
      </w:r>
      <w:proofErr w:type="spellEnd"/>
      <w:r w:rsidRPr="00AA2FF2">
        <w:rPr>
          <w:rFonts w:ascii="TheSansOffice" w:hAnsi="TheSansOffice"/>
          <w:bCs/>
          <w:sz w:val="24"/>
          <w:szCs w:val="24"/>
        </w:rPr>
        <w:t xml:space="preserve"> </w:t>
      </w:r>
      <w:r w:rsidR="002D2648" w:rsidRPr="00AA2FF2">
        <w:rPr>
          <w:rFonts w:ascii="TheSansOffice" w:hAnsi="TheSansOffice"/>
          <w:bCs/>
          <w:sz w:val="24"/>
          <w:szCs w:val="24"/>
        </w:rPr>
        <w:t>der öffentlichen Hand ab. Doch diese Budgets sind auf allen Ebenen – Bund, Länder und Kommunen – offenkundig nicht ausreichend, um die Herausforderungen zu bewältigen.</w:t>
      </w:r>
      <w:r w:rsidRPr="00AA2FF2">
        <w:rPr>
          <w:rFonts w:ascii="TheSansOffice" w:hAnsi="TheSansOffice"/>
          <w:bCs/>
          <w:sz w:val="24"/>
          <w:szCs w:val="24"/>
        </w:rPr>
        <w:t xml:space="preserve"> </w:t>
      </w:r>
    </w:p>
    <w:p w14:paraId="1DD5CA7A" w14:textId="7CE0DBC1" w:rsidR="009355B7" w:rsidRPr="00AA2FF2" w:rsidRDefault="009355B7" w:rsidP="009355B7">
      <w:pPr>
        <w:rPr>
          <w:rFonts w:ascii="TheSansOffice" w:hAnsi="TheSansOffice"/>
          <w:bCs/>
          <w:sz w:val="24"/>
          <w:szCs w:val="24"/>
        </w:rPr>
      </w:pPr>
      <w:r w:rsidRPr="00AA2FF2">
        <w:rPr>
          <w:rFonts w:ascii="TheSansOffice" w:hAnsi="TheSansOffice"/>
          <w:bCs/>
          <w:sz w:val="24"/>
          <w:szCs w:val="24"/>
        </w:rPr>
        <w:t xml:space="preserve">Es ist den </w:t>
      </w:r>
      <w:r w:rsidRPr="00AA2FF2">
        <w:rPr>
          <w:rFonts w:ascii="TheSansOffice" w:hAnsi="TheSansOffice"/>
          <w:bCs/>
          <w:i/>
          <w:iCs/>
          <w:sz w:val="24"/>
          <w:szCs w:val="24"/>
        </w:rPr>
        <w:t>Kommunen</w:t>
      </w:r>
      <w:r w:rsidRPr="00AA2FF2">
        <w:rPr>
          <w:rFonts w:ascii="TheSansOffice" w:hAnsi="TheSansOffice"/>
          <w:bCs/>
          <w:sz w:val="24"/>
          <w:szCs w:val="24"/>
        </w:rPr>
        <w:t xml:space="preserve"> – deren Anteil an den öffentlichen Bauinvestitionen bei 60 </w:t>
      </w:r>
      <w:r w:rsidR="009D56AB" w:rsidRPr="00AA2FF2">
        <w:rPr>
          <w:rFonts w:ascii="TheSansOffice" w:hAnsi="TheSansOffice"/>
          <w:bCs/>
          <w:sz w:val="24"/>
          <w:szCs w:val="24"/>
        </w:rPr>
        <w:t>Prozent</w:t>
      </w:r>
      <w:r w:rsidRPr="00AA2FF2">
        <w:rPr>
          <w:rFonts w:ascii="TheSansOffice" w:hAnsi="TheSansOffice"/>
          <w:bCs/>
          <w:sz w:val="24"/>
          <w:szCs w:val="24"/>
        </w:rPr>
        <w:t xml:space="preserve"> liegt -letztmalig im Jahr 2001 gelungen, positive Nettobauinvestitionen auszuweisen. Seither sind in allen Jahren die Abschreibungen höher als die Investitionen. Der Investitionsstau </w:t>
      </w:r>
      <w:r w:rsidR="002D2648" w:rsidRPr="00AA2FF2">
        <w:rPr>
          <w:rFonts w:ascii="TheSansOffice" w:hAnsi="TheSansOffice"/>
          <w:bCs/>
          <w:sz w:val="24"/>
          <w:szCs w:val="24"/>
        </w:rPr>
        <w:t>auf kommunaler Ebne ist seitdem stetig gewachsen.</w:t>
      </w:r>
      <w:r w:rsidRPr="00AA2FF2">
        <w:rPr>
          <w:rFonts w:ascii="TheSansOffice" w:hAnsi="TheSansOffice"/>
          <w:bCs/>
          <w:sz w:val="24"/>
          <w:szCs w:val="24"/>
        </w:rPr>
        <w:t xml:space="preserve"> </w:t>
      </w:r>
      <w:r w:rsidR="002D2648" w:rsidRPr="00AA2FF2">
        <w:rPr>
          <w:rFonts w:ascii="TheSansOffice" w:hAnsi="TheSansOffice"/>
          <w:bCs/>
          <w:sz w:val="24"/>
          <w:szCs w:val="24"/>
        </w:rPr>
        <w:t xml:space="preserve">Laut </w:t>
      </w:r>
      <w:r w:rsidRPr="00AA2FF2">
        <w:rPr>
          <w:rFonts w:ascii="TheSansOffice" w:hAnsi="TheSansOffice"/>
          <w:bCs/>
          <w:sz w:val="24"/>
          <w:szCs w:val="24"/>
        </w:rPr>
        <w:t xml:space="preserve">KFW-Kommunalpanel </w:t>
      </w:r>
      <w:r w:rsidR="006976EE" w:rsidRPr="00AA2FF2">
        <w:rPr>
          <w:rFonts w:ascii="TheSansOffice" w:hAnsi="TheSansOffice"/>
          <w:bCs/>
          <w:sz w:val="24"/>
          <w:szCs w:val="24"/>
        </w:rPr>
        <w:t>belief</w:t>
      </w:r>
      <w:r w:rsidR="002D2648" w:rsidRPr="00AA2FF2">
        <w:rPr>
          <w:rFonts w:ascii="TheSansOffice" w:hAnsi="TheSansOffice"/>
          <w:bCs/>
          <w:sz w:val="24"/>
          <w:szCs w:val="24"/>
        </w:rPr>
        <w:t xml:space="preserve"> sich der Rückstand</w:t>
      </w:r>
      <w:r w:rsidRPr="00AA2FF2">
        <w:rPr>
          <w:rFonts w:ascii="TheSansOffice" w:hAnsi="TheSansOffice"/>
          <w:bCs/>
          <w:sz w:val="24"/>
          <w:szCs w:val="24"/>
        </w:rPr>
        <w:t xml:space="preserve"> </w:t>
      </w:r>
      <w:r w:rsidR="002D2648" w:rsidRPr="00AA2FF2">
        <w:rPr>
          <w:rFonts w:ascii="TheSansOffice" w:hAnsi="TheSansOffice"/>
          <w:bCs/>
          <w:sz w:val="24"/>
          <w:szCs w:val="24"/>
        </w:rPr>
        <w:t>im Jahr 2013</w:t>
      </w:r>
      <w:r w:rsidRPr="00AA2FF2">
        <w:rPr>
          <w:rFonts w:ascii="TheSansOffice" w:hAnsi="TheSansOffice"/>
          <w:bCs/>
          <w:sz w:val="24"/>
          <w:szCs w:val="24"/>
        </w:rPr>
        <w:t xml:space="preserve"> </w:t>
      </w:r>
      <w:r w:rsidR="002D2648" w:rsidRPr="00AA2FF2">
        <w:rPr>
          <w:rFonts w:ascii="TheSansOffice" w:hAnsi="TheSansOffice"/>
          <w:bCs/>
          <w:sz w:val="24"/>
          <w:szCs w:val="24"/>
        </w:rPr>
        <w:t>auf</w:t>
      </w:r>
      <w:r w:rsidRPr="00AA2FF2">
        <w:rPr>
          <w:rFonts w:ascii="TheSansOffice" w:hAnsi="TheSansOffice"/>
          <w:bCs/>
          <w:sz w:val="24"/>
          <w:szCs w:val="24"/>
        </w:rPr>
        <w:t xml:space="preserve"> 118 Mrd. Euro und hat sich kontinuierlich bis 2023 auf 186 Mrd. Euro erhöht. </w:t>
      </w:r>
      <w:r w:rsidR="002D2648" w:rsidRPr="00AA2FF2">
        <w:rPr>
          <w:rFonts w:ascii="TheSansOffice" w:hAnsi="TheSansOffice"/>
          <w:bCs/>
          <w:sz w:val="24"/>
          <w:szCs w:val="24"/>
        </w:rPr>
        <w:t xml:space="preserve">Allein auf Schulen und Straßen entfallen dabei 55 </w:t>
      </w:r>
      <w:r w:rsidR="009D56AB" w:rsidRPr="00AA2FF2">
        <w:rPr>
          <w:rFonts w:ascii="TheSansOffice" w:hAnsi="TheSansOffice"/>
          <w:bCs/>
          <w:sz w:val="24"/>
          <w:szCs w:val="24"/>
        </w:rPr>
        <w:t>Prozent</w:t>
      </w:r>
      <w:r w:rsidR="002D2648" w:rsidRPr="00AA2FF2">
        <w:rPr>
          <w:rFonts w:ascii="TheSansOffice" w:hAnsi="TheSansOffice"/>
          <w:bCs/>
          <w:sz w:val="24"/>
          <w:szCs w:val="24"/>
        </w:rPr>
        <w:t xml:space="preserve"> des Gesamtstaus. </w:t>
      </w:r>
    </w:p>
    <w:p w14:paraId="2DC56225" w14:textId="48D697D0" w:rsidR="009355B7" w:rsidRPr="00AA2FF2" w:rsidRDefault="002D2648" w:rsidP="009355B7">
      <w:pPr>
        <w:rPr>
          <w:rFonts w:ascii="TheSansOffice" w:hAnsi="TheSansOffice"/>
          <w:bCs/>
          <w:sz w:val="24"/>
          <w:szCs w:val="24"/>
        </w:rPr>
      </w:pPr>
      <w:r w:rsidRPr="00AA2FF2">
        <w:rPr>
          <w:rFonts w:ascii="TheSansOffice" w:hAnsi="TheSansOffice"/>
          <w:bCs/>
          <w:sz w:val="24"/>
          <w:szCs w:val="24"/>
        </w:rPr>
        <w:lastRenderedPageBreak/>
        <w:t>Ein Ende dieser Entwicklung ist nicht in Sicht</w:t>
      </w:r>
      <w:r w:rsidR="006976EE" w:rsidRPr="00AA2FF2">
        <w:rPr>
          <w:rFonts w:ascii="TheSansOffice" w:hAnsi="TheSansOffice"/>
          <w:bCs/>
          <w:sz w:val="24"/>
          <w:szCs w:val="24"/>
        </w:rPr>
        <w:t>.</w:t>
      </w:r>
      <w:r w:rsidR="009355B7" w:rsidRPr="00AA2FF2">
        <w:rPr>
          <w:rFonts w:ascii="TheSansOffice" w:hAnsi="TheSansOffice"/>
          <w:bCs/>
          <w:sz w:val="24"/>
          <w:szCs w:val="24"/>
        </w:rPr>
        <w:t xml:space="preserve"> Nach den aktuellen Daten der Bundesvereinigung der kommunalen Spitzenverbände ist der negative Finanzierungssaldo der Kommunen von 6,2 Mrd. Euro </w:t>
      </w:r>
      <w:r w:rsidRPr="00AA2FF2">
        <w:rPr>
          <w:rFonts w:ascii="TheSansOffice" w:hAnsi="TheSansOffice"/>
          <w:bCs/>
          <w:sz w:val="24"/>
          <w:szCs w:val="24"/>
        </w:rPr>
        <w:t>im Jahr 2023</w:t>
      </w:r>
      <w:r w:rsidR="009355B7" w:rsidRPr="00AA2FF2">
        <w:rPr>
          <w:rFonts w:ascii="TheSansOffice" w:hAnsi="TheSansOffice"/>
          <w:bCs/>
          <w:sz w:val="24"/>
          <w:szCs w:val="24"/>
        </w:rPr>
        <w:t xml:space="preserve"> auf 13,2 Mrd. Euro 2024 angewachsen. Die kommunalen Spitzenverbände erwarten nach einer Steigerung der Bauinvestitionen in den letzten Jahren nunmehr einen Rückgang bei den Budgets für Baumaßnahmen von 34 Mrd. Euro 2024 auf unter 30 Mrd. Euro 2027. </w:t>
      </w:r>
    </w:p>
    <w:p w14:paraId="4B0ED01A" w14:textId="4CC1E631" w:rsidR="002D2648" w:rsidRPr="00AA2FF2" w:rsidRDefault="002D2648" w:rsidP="009355B7">
      <w:pPr>
        <w:rPr>
          <w:rFonts w:ascii="TheSansOffice" w:hAnsi="TheSansOffice"/>
          <w:bCs/>
          <w:sz w:val="24"/>
          <w:szCs w:val="24"/>
        </w:rPr>
      </w:pPr>
      <w:r w:rsidRPr="00AA2FF2">
        <w:rPr>
          <w:rFonts w:ascii="TheSansOffice" w:hAnsi="TheSansOffice"/>
          <w:bCs/>
          <w:sz w:val="24"/>
          <w:szCs w:val="24"/>
        </w:rPr>
        <w:t xml:space="preserve">Der Investitionsstau wird somit weiter zunehmen, wenn es nicht gelingt, strukturelle Änderungen vorzunehmen. Dringend erforderlich ist ein Moratorium für die Übertragung neuer Aufgaben an die Kommunen sowie eine Stabilisierung ihrer Einnahmesituation. Allerdings würde dies bestenfalls die aktuelle Investitionstätigkeit sichern, nicht jedoch den bestehenden Rückstand abbauen. Hierzu bedarf es langfristig wirksamer Maßnahmen wie </w:t>
      </w:r>
      <w:r w:rsidR="006976EE" w:rsidRPr="00AA2FF2">
        <w:rPr>
          <w:rFonts w:ascii="TheSansOffice" w:hAnsi="TheSansOffice"/>
          <w:bCs/>
          <w:sz w:val="24"/>
          <w:szCs w:val="24"/>
        </w:rPr>
        <w:t xml:space="preserve">z. Bsp. </w:t>
      </w:r>
      <w:r w:rsidRPr="00AA2FF2">
        <w:rPr>
          <w:rFonts w:ascii="TheSansOffice" w:hAnsi="TheSansOffice"/>
          <w:bCs/>
          <w:sz w:val="24"/>
          <w:szCs w:val="24"/>
        </w:rPr>
        <w:t>der Schaffung eines Kommunal-Investitionsfonds.</w:t>
      </w:r>
    </w:p>
    <w:p w14:paraId="6F32CBB4" w14:textId="45A8C03D" w:rsidR="009355B7" w:rsidRPr="00AA2FF2" w:rsidRDefault="009355B7" w:rsidP="009355B7">
      <w:pPr>
        <w:rPr>
          <w:rFonts w:ascii="TheSansOffice" w:hAnsi="TheSansOffice"/>
          <w:bCs/>
          <w:sz w:val="24"/>
          <w:szCs w:val="24"/>
        </w:rPr>
      </w:pPr>
      <w:r w:rsidRPr="00AA2FF2">
        <w:rPr>
          <w:rFonts w:ascii="TheSansOffice" w:hAnsi="TheSansOffice"/>
          <w:bCs/>
          <w:sz w:val="24"/>
          <w:szCs w:val="24"/>
        </w:rPr>
        <w:t xml:space="preserve">Der </w:t>
      </w:r>
      <w:r w:rsidRPr="00AA2FF2">
        <w:rPr>
          <w:rFonts w:ascii="TheSansOffice" w:hAnsi="TheSansOffice"/>
          <w:bCs/>
          <w:i/>
          <w:sz w:val="24"/>
          <w:szCs w:val="24"/>
        </w:rPr>
        <w:t>Bundeshaushalt</w:t>
      </w:r>
      <w:r w:rsidRPr="00AA2FF2">
        <w:rPr>
          <w:rFonts w:ascii="TheSansOffice" w:hAnsi="TheSansOffice"/>
          <w:bCs/>
          <w:sz w:val="24"/>
          <w:szCs w:val="24"/>
        </w:rPr>
        <w:t xml:space="preserve"> sah in den letzten Jahren bei der Straßeninfrastruktur ein Budget um knapp 9 Mrd. Euro vor. Dies berücksichtigt unzureichend die Preissteigerung für Bauleistungen. Zudem fehlen der Autobahn GmbH ab 202</w:t>
      </w:r>
      <w:r w:rsidR="006976EE" w:rsidRPr="00AA2FF2">
        <w:rPr>
          <w:rFonts w:ascii="TheSansOffice" w:hAnsi="TheSansOffice"/>
          <w:bCs/>
          <w:sz w:val="24"/>
          <w:szCs w:val="24"/>
        </w:rPr>
        <w:t>5</w:t>
      </w:r>
      <w:r w:rsidRPr="00AA2FF2">
        <w:rPr>
          <w:rFonts w:ascii="TheSansOffice" w:hAnsi="TheSansOffice"/>
          <w:bCs/>
          <w:sz w:val="24"/>
          <w:szCs w:val="24"/>
        </w:rPr>
        <w:t xml:space="preserve"> ca. 1,5 Mrd. Euro, um im Verkehrswegeplan vorgesehene Projekte umzusetzen. </w:t>
      </w:r>
    </w:p>
    <w:p w14:paraId="0ABD9C59" w14:textId="75E3C736" w:rsidR="009355B7" w:rsidRPr="00AA2FF2" w:rsidRDefault="009355B7" w:rsidP="009355B7">
      <w:pPr>
        <w:rPr>
          <w:rFonts w:ascii="TheSansOffice" w:hAnsi="TheSansOffice"/>
          <w:bCs/>
          <w:sz w:val="24"/>
          <w:szCs w:val="24"/>
        </w:rPr>
      </w:pPr>
      <w:r w:rsidRPr="00AA2FF2">
        <w:rPr>
          <w:rFonts w:ascii="TheSansOffice" w:hAnsi="TheSansOffice"/>
          <w:bCs/>
          <w:sz w:val="24"/>
          <w:szCs w:val="24"/>
        </w:rPr>
        <w:t xml:space="preserve">Erschwerend kommt jetzt hinzu, </w:t>
      </w:r>
      <w:r w:rsidR="00A56734" w:rsidRPr="00AA2FF2">
        <w:rPr>
          <w:rFonts w:ascii="TheSansOffice" w:hAnsi="TheSansOffice"/>
          <w:bCs/>
          <w:sz w:val="24"/>
          <w:szCs w:val="24"/>
        </w:rPr>
        <w:t>dass das Jahr 2025 ohne eine verabschiedete Haushaltsplanung beginnt. Im Rahmen der vorläufigen Haushaltsführung können lediglich Bauaufträge ausgeführt werden, für die bereits im Haushalt 2024 Mittel vorgesehen sind</w:t>
      </w:r>
      <w:r w:rsidRPr="00AA2FF2">
        <w:rPr>
          <w:rFonts w:ascii="TheSansOffice" w:hAnsi="TheSansOffice"/>
          <w:bCs/>
          <w:sz w:val="24"/>
          <w:szCs w:val="24"/>
        </w:rPr>
        <w:t xml:space="preserve">. Damit drohen Kapazitäten nicht ausgelastet zu werden, die im Vertrauen auf verlässliche Auftragsvergaben, orientiert an der mittelfristigen Haushaltsplanung, geschaffen wurden. </w:t>
      </w:r>
      <w:r w:rsidR="00A56734" w:rsidRPr="00AA2FF2">
        <w:rPr>
          <w:rFonts w:ascii="TheSansOffice" w:hAnsi="TheSansOffice"/>
          <w:bCs/>
          <w:sz w:val="24"/>
          <w:szCs w:val="24"/>
        </w:rPr>
        <w:t>Besonders wichtig ist es daher, den Planungsvorlauf konsequent aufrechtzuerhalten. Andernfalls droht das Risiko, dass keine Projekte zur Umsetzung bereitstehen, wenn die Haushaltsmittel freigegeben werden.</w:t>
      </w:r>
    </w:p>
    <w:p w14:paraId="2723C1CC" w14:textId="230FEA0C" w:rsidR="009355B7" w:rsidRPr="00AA2FF2" w:rsidRDefault="00A56734" w:rsidP="009355B7">
      <w:pPr>
        <w:rPr>
          <w:rFonts w:ascii="TheSansOffice" w:hAnsi="TheSansOffice"/>
          <w:bCs/>
          <w:sz w:val="24"/>
          <w:szCs w:val="24"/>
        </w:rPr>
      </w:pPr>
      <w:r w:rsidRPr="00AA2FF2">
        <w:rPr>
          <w:rFonts w:ascii="TheSansOffice" w:hAnsi="TheSansOffice"/>
          <w:bCs/>
          <w:sz w:val="24"/>
          <w:szCs w:val="24"/>
        </w:rPr>
        <w:t xml:space="preserve">In Zeiten knapper öffentlicher Kassen bringt das Verkehrsministerium erneut Geschäftsmodelle wie Öffentlich-Private Partnerschaften (ÖPP) ins Spiel. </w:t>
      </w:r>
      <w:r w:rsidR="009355B7" w:rsidRPr="00AA2FF2">
        <w:rPr>
          <w:rFonts w:ascii="TheSansOffice" w:hAnsi="TheSansOffice"/>
          <w:bCs/>
          <w:sz w:val="24"/>
          <w:szCs w:val="24"/>
        </w:rPr>
        <w:t>Diese komplexen Vergabemodelle</w:t>
      </w:r>
      <w:r w:rsidRPr="00AA2FF2">
        <w:rPr>
          <w:rFonts w:ascii="TheSansOffice" w:hAnsi="TheSansOffice"/>
          <w:bCs/>
          <w:sz w:val="24"/>
          <w:szCs w:val="24"/>
        </w:rPr>
        <w:t>, die</w:t>
      </w:r>
      <w:r w:rsidR="009355B7" w:rsidRPr="00AA2FF2">
        <w:rPr>
          <w:rFonts w:ascii="TheSansOffice" w:hAnsi="TheSansOffice"/>
          <w:bCs/>
          <w:sz w:val="24"/>
          <w:szCs w:val="24"/>
        </w:rPr>
        <w:t xml:space="preserve"> von der privaten Vorfinanzierung bis zur Betreiberphase über 30 Jahre</w:t>
      </w:r>
      <w:r w:rsidRPr="00AA2FF2">
        <w:rPr>
          <w:rFonts w:ascii="TheSansOffice" w:hAnsi="TheSansOffice"/>
          <w:bCs/>
          <w:sz w:val="24"/>
          <w:szCs w:val="24"/>
        </w:rPr>
        <w:t xml:space="preserve"> reichen</w:t>
      </w:r>
      <w:r w:rsidR="009355B7" w:rsidRPr="00AA2FF2">
        <w:rPr>
          <w:rFonts w:ascii="TheSansOffice" w:hAnsi="TheSansOffice"/>
          <w:bCs/>
          <w:sz w:val="24"/>
          <w:szCs w:val="24"/>
        </w:rPr>
        <w:t xml:space="preserve">, schließen den Mittelstand </w:t>
      </w:r>
      <w:r w:rsidRPr="00AA2FF2">
        <w:rPr>
          <w:rFonts w:ascii="TheSansOffice" w:hAnsi="TheSansOffice"/>
          <w:bCs/>
          <w:sz w:val="24"/>
          <w:szCs w:val="24"/>
        </w:rPr>
        <w:t>faktisch vom</w:t>
      </w:r>
      <w:r w:rsidR="009355B7" w:rsidRPr="00AA2FF2">
        <w:rPr>
          <w:rFonts w:ascii="TheSansOffice" w:hAnsi="TheSansOffice"/>
          <w:bCs/>
          <w:sz w:val="24"/>
          <w:szCs w:val="24"/>
        </w:rPr>
        <w:t xml:space="preserve"> Wettbewerb aus</w:t>
      </w:r>
      <w:r w:rsidRPr="00AA2FF2">
        <w:rPr>
          <w:rFonts w:ascii="TheSansOffice" w:hAnsi="TheSansOffice"/>
          <w:bCs/>
          <w:sz w:val="24"/>
          <w:szCs w:val="24"/>
        </w:rPr>
        <w:t xml:space="preserve"> – wie </w:t>
      </w:r>
      <w:r w:rsidR="009355B7" w:rsidRPr="00AA2FF2">
        <w:rPr>
          <w:rFonts w:ascii="TheSansOffice" w:hAnsi="TheSansOffice"/>
          <w:bCs/>
          <w:sz w:val="24"/>
          <w:szCs w:val="24"/>
        </w:rPr>
        <w:t xml:space="preserve">die Erfahrungen mit den </w:t>
      </w:r>
      <w:r w:rsidRPr="00AA2FF2">
        <w:rPr>
          <w:rFonts w:ascii="TheSansOffice" w:hAnsi="TheSansOffice"/>
          <w:bCs/>
          <w:sz w:val="24"/>
          <w:szCs w:val="24"/>
        </w:rPr>
        <w:t xml:space="preserve">bisherigen </w:t>
      </w:r>
      <w:r w:rsidR="009355B7" w:rsidRPr="00AA2FF2">
        <w:rPr>
          <w:rFonts w:ascii="TheSansOffice" w:hAnsi="TheSansOffice"/>
          <w:bCs/>
          <w:sz w:val="24"/>
          <w:szCs w:val="24"/>
        </w:rPr>
        <w:t xml:space="preserve">ÖPP-Staffeln </w:t>
      </w:r>
      <w:r w:rsidRPr="00AA2FF2">
        <w:rPr>
          <w:rFonts w:ascii="TheSansOffice" w:hAnsi="TheSansOffice"/>
          <w:bCs/>
          <w:sz w:val="24"/>
          <w:szCs w:val="24"/>
        </w:rPr>
        <w:t>zeigen.</w:t>
      </w:r>
      <w:r w:rsidR="009355B7" w:rsidRPr="00AA2FF2">
        <w:rPr>
          <w:rFonts w:ascii="TheSansOffice" w:hAnsi="TheSansOffice"/>
          <w:bCs/>
          <w:sz w:val="24"/>
          <w:szCs w:val="24"/>
        </w:rPr>
        <w:t xml:space="preserve"> </w:t>
      </w:r>
      <w:r w:rsidRPr="00AA2FF2">
        <w:rPr>
          <w:rFonts w:ascii="TheSansOffice" w:hAnsi="TheSansOffice"/>
          <w:bCs/>
          <w:sz w:val="24"/>
          <w:szCs w:val="24"/>
        </w:rPr>
        <w:t>Dies schadet nicht nur mittelständischen Unternehmen, sondern auch der öffentlichen Hand und letztlich den Steuerzahlern.</w:t>
      </w:r>
      <w:r w:rsidR="009355B7" w:rsidRPr="00AA2FF2">
        <w:rPr>
          <w:rFonts w:ascii="TheSansOffice" w:hAnsi="TheSansOffice"/>
          <w:bCs/>
          <w:sz w:val="24"/>
          <w:szCs w:val="24"/>
        </w:rPr>
        <w:t xml:space="preserve"> Der Bund sollte </w:t>
      </w:r>
      <w:r w:rsidRPr="00AA2FF2">
        <w:rPr>
          <w:rFonts w:ascii="TheSansOffice" w:hAnsi="TheSansOffice"/>
          <w:bCs/>
          <w:sz w:val="24"/>
          <w:szCs w:val="24"/>
        </w:rPr>
        <w:t xml:space="preserve">stattdessen </w:t>
      </w:r>
      <w:r w:rsidR="009355B7" w:rsidRPr="00AA2FF2">
        <w:rPr>
          <w:rFonts w:ascii="TheSansOffice" w:hAnsi="TheSansOffice"/>
          <w:bCs/>
          <w:sz w:val="24"/>
          <w:szCs w:val="24"/>
        </w:rPr>
        <w:t xml:space="preserve">seine Planungskompetenz in der Autobahn GmbH und bei der DEGES weiter </w:t>
      </w:r>
      <w:r w:rsidRPr="00AA2FF2">
        <w:rPr>
          <w:rFonts w:ascii="TheSansOffice" w:hAnsi="TheSansOffice"/>
          <w:bCs/>
          <w:sz w:val="24"/>
          <w:szCs w:val="24"/>
        </w:rPr>
        <w:t>stärken</w:t>
      </w:r>
      <w:r w:rsidR="009355B7" w:rsidRPr="00AA2FF2">
        <w:rPr>
          <w:rFonts w:ascii="TheSansOffice" w:hAnsi="TheSansOffice"/>
          <w:bCs/>
          <w:sz w:val="24"/>
          <w:szCs w:val="24"/>
        </w:rPr>
        <w:t xml:space="preserve"> und nicht schwächen.</w:t>
      </w:r>
    </w:p>
    <w:p w14:paraId="21CE832E" w14:textId="77777777" w:rsidR="009355B7" w:rsidRPr="00AA2FF2" w:rsidRDefault="009355B7" w:rsidP="009355B7">
      <w:pPr>
        <w:rPr>
          <w:rFonts w:ascii="TheSansOffice" w:hAnsi="TheSansOffice"/>
          <w:bCs/>
          <w:sz w:val="24"/>
          <w:szCs w:val="24"/>
        </w:rPr>
      </w:pPr>
      <w:r w:rsidRPr="00AA2FF2">
        <w:rPr>
          <w:rFonts w:ascii="TheSansOffice" w:hAnsi="TheSansOffice"/>
          <w:bCs/>
          <w:sz w:val="24"/>
          <w:szCs w:val="24"/>
        </w:rPr>
        <w:t xml:space="preserve">Um dem Investitionsstau in Deutschland Herr zu werden, braucht es zügig eine auskömmliche Finanzausstattung für alle Verkehrsträger. </w:t>
      </w:r>
    </w:p>
    <w:p w14:paraId="0A8B4DE9" w14:textId="2126BD24" w:rsidR="009355B7" w:rsidRPr="00AA2FF2" w:rsidRDefault="009355B7" w:rsidP="009355B7">
      <w:pPr>
        <w:rPr>
          <w:rFonts w:ascii="TheSansOffice" w:hAnsi="TheSansOffice"/>
          <w:bCs/>
          <w:sz w:val="24"/>
          <w:szCs w:val="24"/>
        </w:rPr>
      </w:pPr>
      <w:r w:rsidRPr="00AA2FF2">
        <w:rPr>
          <w:rFonts w:ascii="TheSansOffice" w:hAnsi="TheSansOffice"/>
          <w:bCs/>
          <w:sz w:val="24"/>
          <w:szCs w:val="24"/>
        </w:rPr>
        <w:t xml:space="preserve">Angesichts der verhaltenen Konjunkturaussichten werden sich die </w:t>
      </w:r>
      <w:r w:rsidR="00A56734" w:rsidRPr="00AA2FF2">
        <w:rPr>
          <w:rFonts w:ascii="TheSansOffice" w:hAnsi="TheSansOffice"/>
          <w:bCs/>
          <w:sz w:val="24"/>
          <w:szCs w:val="24"/>
        </w:rPr>
        <w:t xml:space="preserve">finanziellen Spielräume </w:t>
      </w:r>
      <w:r w:rsidRPr="00AA2FF2">
        <w:rPr>
          <w:rFonts w:ascii="TheSansOffice" w:hAnsi="TheSansOffice"/>
          <w:bCs/>
          <w:sz w:val="24"/>
          <w:szCs w:val="24"/>
        </w:rPr>
        <w:t xml:space="preserve">im Bundeshaushalt weiter verengen. Sie werden zusätzlich durch die seit 2023 laufenden Tilgungslasten aus den Krisenpaketen 2020/2021 belastet. Ohne </w:t>
      </w:r>
      <w:r w:rsidR="00A56734" w:rsidRPr="00AA2FF2">
        <w:rPr>
          <w:rFonts w:ascii="TheSansOffice" w:hAnsi="TheSansOffice"/>
          <w:bCs/>
          <w:sz w:val="24"/>
          <w:szCs w:val="24"/>
        </w:rPr>
        <w:t>eine Neuausrichtung d</w:t>
      </w:r>
      <w:r w:rsidRPr="00AA2FF2">
        <w:rPr>
          <w:rFonts w:ascii="TheSansOffice" w:hAnsi="TheSansOffice"/>
          <w:bCs/>
          <w:sz w:val="24"/>
          <w:szCs w:val="24"/>
        </w:rPr>
        <w:t xml:space="preserve">er Staatsausgaben </w:t>
      </w:r>
      <w:r w:rsidR="00A56734" w:rsidRPr="00AA2FF2">
        <w:rPr>
          <w:rFonts w:ascii="TheSansOffice" w:hAnsi="TheSansOffice"/>
          <w:bCs/>
          <w:sz w:val="24"/>
          <w:szCs w:val="24"/>
        </w:rPr>
        <w:t>hin</w:t>
      </w:r>
      <w:r w:rsidRPr="00AA2FF2">
        <w:rPr>
          <w:rFonts w:ascii="TheSansOffice" w:hAnsi="TheSansOffice"/>
          <w:bCs/>
          <w:sz w:val="24"/>
          <w:szCs w:val="24"/>
        </w:rPr>
        <w:t xml:space="preserve"> zu mehr Investitionen, </w:t>
      </w:r>
      <w:r w:rsidR="00A56734" w:rsidRPr="00AA2FF2">
        <w:rPr>
          <w:rFonts w:ascii="TheSansOffice" w:hAnsi="TheSansOffice"/>
          <w:bCs/>
          <w:sz w:val="24"/>
          <w:szCs w:val="24"/>
        </w:rPr>
        <w:t xml:space="preserve">droht </w:t>
      </w:r>
      <w:r w:rsidRPr="00AA2FF2">
        <w:rPr>
          <w:rFonts w:ascii="TheSansOffice" w:hAnsi="TheSansOffice"/>
          <w:bCs/>
          <w:sz w:val="24"/>
          <w:szCs w:val="24"/>
        </w:rPr>
        <w:t>die Zukunft des Wirtschaftsstandortes Deutschland</w:t>
      </w:r>
      <w:r w:rsidR="00A56734" w:rsidRPr="00AA2FF2">
        <w:rPr>
          <w:rFonts w:ascii="TheSansOffice" w:hAnsi="TheSansOffice"/>
          <w:bCs/>
          <w:sz w:val="24"/>
          <w:szCs w:val="24"/>
        </w:rPr>
        <w:t xml:space="preserve"> ernsthaft</w:t>
      </w:r>
      <w:r w:rsidRPr="00AA2FF2">
        <w:rPr>
          <w:rFonts w:ascii="TheSansOffice" w:hAnsi="TheSansOffice"/>
          <w:bCs/>
          <w:sz w:val="24"/>
          <w:szCs w:val="24"/>
        </w:rPr>
        <w:t xml:space="preserve"> gefährdet</w:t>
      </w:r>
      <w:r w:rsidR="00A56734" w:rsidRPr="00AA2FF2">
        <w:rPr>
          <w:rFonts w:ascii="TheSansOffice" w:hAnsi="TheSansOffice"/>
          <w:bCs/>
          <w:sz w:val="24"/>
          <w:szCs w:val="24"/>
        </w:rPr>
        <w:t xml:space="preserve"> zu werden. Insbesondere </w:t>
      </w:r>
      <w:r w:rsidRPr="00AA2FF2">
        <w:rPr>
          <w:rFonts w:ascii="TheSansOffice" w:hAnsi="TheSansOffice"/>
          <w:bCs/>
          <w:sz w:val="24"/>
          <w:szCs w:val="24"/>
        </w:rPr>
        <w:t xml:space="preserve">Investitionen in Bildung und Infrastruktur </w:t>
      </w:r>
      <w:r w:rsidR="00A56734" w:rsidRPr="00AA2FF2">
        <w:rPr>
          <w:rFonts w:ascii="TheSansOffice" w:hAnsi="TheSansOffice"/>
          <w:bCs/>
          <w:sz w:val="24"/>
          <w:szCs w:val="24"/>
        </w:rPr>
        <w:t>könnten weiterhin unzureichend bleiben. Hinzu kommt</w:t>
      </w:r>
      <w:r w:rsidRPr="00AA2FF2">
        <w:rPr>
          <w:rFonts w:ascii="TheSansOffice" w:hAnsi="TheSansOffice"/>
          <w:bCs/>
          <w:sz w:val="24"/>
          <w:szCs w:val="24"/>
        </w:rPr>
        <w:t xml:space="preserve">, dass die </w:t>
      </w:r>
      <w:r w:rsidR="00A56734" w:rsidRPr="00AA2FF2">
        <w:rPr>
          <w:rFonts w:ascii="TheSansOffice" w:hAnsi="TheSansOffice"/>
          <w:bCs/>
          <w:sz w:val="24"/>
          <w:szCs w:val="24"/>
        </w:rPr>
        <w:t>Bundesl</w:t>
      </w:r>
      <w:r w:rsidRPr="00AA2FF2">
        <w:rPr>
          <w:rFonts w:ascii="TheSansOffice" w:hAnsi="TheSansOffice"/>
          <w:bCs/>
          <w:sz w:val="24"/>
          <w:szCs w:val="24"/>
        </w:rPr>
        <w:t xml:space="preserve">änder seit 2020 wegen der geltenden Regelung zur Schuldenbremse grundsätzlich keine Möglichkeit mehr haben, Kredite für Investitionen aufzunehmen. Das </w:t>
      </w:r>
      <w:r w:rsidR="00A56734" w:rsidRPr="00AA2FF2">
        <w:rPr>
          <w:rFonts w:ascii="TheSansOffice" w:hAnsi="TheSansOffice"/>
          <w:bCs/>
          <w:sz w:val="24"/>
          <w:szCs w:val="24"/>
        </w:rPr>
        <w:t xml:space="preserve">bremst die öffentliche </w:t>
      </w:r>
      <w:r w:rsidRPr="00AA2FF2">
        <w:rPr>
          <w:rFonts w:ascii="TheSansOffice" w:hAnsi="TheSansOffice"/>
          <w:bCs/>
          <w:sz w:val="24"/>
          <w:szCs w:val="24"/>
        </w:rPr>
        <w:t>Investitionstätigkeit</w:t>
      </w:r>
      <w:r w:rsidR="00A56734" w:rsidRPr="00AA2FF2">
        <w:rPr>
          <w:rFonts w:ascii="TheSansOffice" w:hAnsi="TheSansOffice"/>
          <w:bCs/>
          <w:sz w:val="24"/>
          <w:szCs w:val="24"/>
        </w:rPr>
        <w:t xml:space="preserve"> erheblich</w:t>
      </w:r>
      <w:r w:rsidR="00EA0144" w:rsidRPr="00AA2FF2">
        <w:rPr>
          <w:rFonts w:ascii="TheSansOffice" w:hAnsi="TheSansOffice"/>
          <w:bCs/>
          <w:sz w:val="24"/>
          <w:szCs w:val="24"/>
        </w:rPr>
        <w:t>.</w:t>
      </w:r>
      <w:r w:rsidR="00A56734" w:rsidRPr="00AA2FF2">
        <w:rPr>
          <w:rFonts w:ascii="TheSansOffice" w:hAnsi="TheSansOffice"/>
          <w:bCs/>
          <w:sz w:val="24"/>
          <w:szCs w:val="24"/>
        </w:rPr>
        <w:t xml:space="preserve"> </w:t>
      </w:r>
      <w:r w:rsidR="00EA0144" w:rsidRPr="00AA2FF2">
        <w:rPr>
          <w:rFonts w:ascii="TheSansOffice" w:hAnsi="TheSansOffice"/>
          <w:bCs/>
          <w:sz w:val="24"/>
          <w:szCs w:val="24"/>
        </w:rPr>
        <w:t xml:space="preserve">Eine Diskussion über eine verstärkte Investitionstätigkeit und eine entsprechend </w:t>
      </w:r>
      <w:r w:rsidR="00EA0144" w:rsidRPr="00AA2FF2">
        <w:rPr>
          <w:rFonts w:ascii="TheSansOffice" w:hAnsi="TheSansOffice"/>
          <w:bCs/>
          <w:sz w:val="24"/>
          <w:szCs w:val="24"/>
        </w:rPr>
        <w:lastRenderedPageBreak/>
        <w:t>ausgerichtete Schuldenbremse wird in der nächsten Legislaturperiode zu führen sein. Eine alleinige Erhöhung der Schuldenquote ist dabei nicht die Lösung</w:t>
      </w:r>
      <w:r w:rsidR="00D87668" w:rsidRPr="00AA2FF2">
        <w:rPr>
          <w:rFonts w:ascii="TheSansOffice" w:hAnsi="TheSansOffice"/>
          <w:bCs/>
          <w:sz w:val="24"/>
          <w:szCs w:val="24"/>
        </w:rPr>
        <w:t>,</w:t>
      </w:r>
      <w:r w:rsidR="00EA0144" w:rsidRPr="00AA2FF2">
        <w:rPr>
          <w:rFonts w:ascii="TheSansOffice" w:hAnsi="TheSansOffice"/>
          <w:bCs/>
          <w:sz w:val="24"/>
          <w:szCs w:val="24"/>
        </w:rPr>
        <w:t xml:space="preserve"> wie ein Blick aktuell nach Frankreich zeigt. </w:t>
      </w:r>
    </w:p>
    <w:p w14:paraId="1D38A117" w14:textId="46BF9B80" w:rsidR="009355B7" w:rsidRPr="00AA2FF2" w:rsidRDefault="009355B7" w:rsidP="009355B7">
      <w:pPr>
        <w:rPr>
          <w:rFonts w:ascii="TheSansOffice" w:hAnsi="TheSansOffice"/>
          <w:sz w:val="24"/>
          <w:szCs w:val="24"/>
        </w:rPr>
      </w:pPr>
      <w:r w:rsidRPr="00AA2FF2">
        <w:rPr>
          <w:rFonts w:ascii="TheSansOffice" w:hAnsi="TheSansOffice"/>
          <w:sz w:val="24"/>
          <w:szCs w:val="24"/>
        </w:rPr>
        <w:t>Dem öffentlichen Hochbau fehlt seit dem zweiten Quart</w:t>
      </w:r>
      <w:r w:rsidR="003F1D9C" w:rsidRPr="00AA2FF2">
        <w:rPr>
          <w:rFonts w:ascii="TheSansOffice" w:hAnsi="TheSansOffice"/>
          <w:sz w:val="24"/>
          <w:szCs w:val="24"/>
        </w:rPr>
        <w:t xml:space="preserve">al die Dynamik: Der Orderzugang liegt kumuliert 3 Prozent unter dem Vorjahresniveau. </w:t>
      </w:r>
      <w:r w:rsidRPr="00AA2FF2">
        <w:rPr>
          <w:rFonts w:ascii="TheSansOffice" w:hAnsi="TheSansOffice"/>
          <w:sz w:val="24"/>
          <w:szCs w:val="24"/>
        </w:rPr>
        <w:t xml:space="preserve"> </w:t>
      </w:r>
      <w:r w:rsidR="003F1D9C" w:rsidRPr="00AA2FF2">
        <w:rPr>
          <w:rFonts w:ascii="TheSansOffice" w:hAnsi="TheSansOffice"/>
          <w:sz w:val="24"/>
          <w:szCs w:val="24"/>
        </w:rPr>
        <w:t xml:space="preserve">Im öffentlichen Tiefbau hingegen wurden im Vergleich zum </w:t>
      </w:r>
      <w:r w:rsidR="006976EE" w:rsidRPr="00AA2FF2">
        <w:rPr>
          <w:rFonts w:ascii="TheSansOffice" w:hAnsi="TheSansOffice"/>
          <w:sz w:val="24"/>
          <w:szCs w:val="24"/>
        </w:rPr>
        <w:t>Vorjahr</w:t>
      </w:r>
      <w:r w:rsidR="003F1D9C" w:rsidRPr="00AA2FF2">
        <w:rPr>
          <w:rFonts w:ascii="TheSansOffice" w:hAnsi="TheSansOffice"/>
          <w:sz w:val="24"/>
          <w:szCs w:val="24"/>
        </w:rPr>
        <w:t xml:space="preserve"> mehr Investitionen beauftragt </w:t>
      </w:r>
      <w:r w:rsidRPr="00AA2FF2">
        <w:rPr>
          <w:rFonts w:ascii="TheSansOffice" w:hAnsi="TheSansOffice"/>
          <w:sz w:val="24"/>
          <w:szCs w:val="24"/>
        </w:rPr>
        <w:t xml:space="preserve">(kumulativ +4 </w:t>
      </w:r>
      <w:r w:rsidR="009D56AB" w:rsidRPr="00AA2FF2">
        <w:rPr>
          <w:rFonts w:ascii="TheSansOffice" w:hAnsi="TheSansOffice"/>
          <w:sz w:val="24"/>
          <w:szCs w:val="24"/>
        </w:rPr>
        <w:t>Prozent</w:t>
      </w:r>
      <w:r w:rsidRPr="00AA2FF2">
        <w:rPr>
          <w:rFonts w:ascii="TheSansOffice" w:hAnsi="TheSansOffice"/>
          <w:sz w:val="24"/>
          <w:szCs w:val="24"/>
        </w:rPr>
        <w:t xml:space="preserve">). </w:t>
      </w:r>
      <w:r w:rsidR="003F1D9C" w:rsidRPr="00AA2FF2">
        <w:rPr>
          <w:rFonts w:ascii="TheSansOffice" w:hAnsi="TheSansOffice"/>
          <w:sz w:val="24"/>
          <w:szCs w:val="24"/>
        </w:rPr>
        <w:t xml:space="preserve">Allerdings zeigt sich auch hier im dritten Quartal ein Rückgang der Dynamik, was sich mit den Rückmeldungen aus den Betrieben deckt. </w:t>
      </w:r>
    </w:p>
    <w:p w14:paraId="2088A0BC" w14:textId="73FCB21A" w:rsidR="009355B7" w:rsidRPr="00AA2FF2" w:rsidRDefault="009355B7" w:rsidP="009355B7">
      <w:pPr>
        <w:rPr>
          <w:rFonts w:ascii="TheSansOffice" w:hAnsi="TheSansOffice"/>
          <w:sz w:val="24"/>
          <w:szCs w:val="24"/>
        </w:rPr>
      </w:pPr>
      <w:r w:rsidRPr="00AA2FF2">
        <w:rPr>
          <w:rFonts w:ascii="TheSansOffice" w:hAnsi="TheSansOffice"/>
          <w:sz w:val="24"/>
          <w:szCs w:val="24"/>
        </w:rPr>
        <w:t xml:space="preserve">Für 2024 rechnen wir im </w:t>
      </w:r>
      <w:r w:rsidRPr="00AA2FF2">
        <w:rPr>
          <w:rFonts w:ascii="TheSansOffice" w:hAnsi="TheSansOffice"/>
          <w:i/>
          <w:sz w:val="24"/>
          <w:szCs w:val="24"/>
        </w:rPr>
        <w:t>öffentlichen Hochbau</w:t>
      </w:r>
      <w:r w:rsidRPr="00AA2FF2">
        <w:rPr>
          <w:rFonts w:ascii="TheSansOffice" w:hAnsi="TheSansOffice"/>
          <w:sz w:val="24"/>
          <w:szCs w:val="24"/>
        </w:rPr>
        <w:t xml:space="preserve"> mit einem Umsatz knapp bei 9,8 Mrd. Euro</w:t>
      </w:r>
      <w:r w:rsidR="003F1D9C" w:rsidRPr="00AA2FF2">
        <w:rPr>
          <w:rFonts w:ascii="TheSansOffice" w:hAnsi="TheSansOffice"/>
          <w:sz w:val="24"/>
          <w:szCs w:val="24"/>
        </w:rPr>
        <w:t xml:space="preserve">. Dies entspricht einem nominalen Anstieg von etwa 4,5 Prozent und einem realen Zuwachs von rund 2,5 Prozent. </w:t>
      </w:r>
      <w:r w:rsidRPr="00AA2FF2">
        <w:rPr>
          <w:rFonts w:ascii="TheSansOffice" w:hAnsi="TheSansOffice"/>
          <w:sz w:val="24"/>
          <w:szCs w:val="24"/>
        </w:rPr>
        <w:t xml:space="preserve">Für 2025 erwarten wir eine schwache Umsatzentwicklung im öffentlichen Hochbau um nominal 1,5 </w:t>
      </w:r>
      <w:r w:rsidR="009D56AB" w:rsidRPr="00AA2FF2">
        <w:rPr>
          <w:rFonts w:ascii="TheSansOffice" w:hAnsi="TheSansOffice"/>
          <w:sz w:val="24"/>
          <w:szCs w:val="24"/>
        </w:rPr>
        <w:t>Prozent</w:t>
      </w:r>
      <w:r w:rsidRPr="00AA2FF2">
        <w:rPr>
          <w:rFonts w:ascii="TheSansOffice" w:hAnsi="TheSansOffice"/>
          <w:sz w:val="24"/>
          <w:szCs w:val="24"/>
        </w:rPr>
        <w:t xml:space="preserve">, </w:t>
      </w:r>
      <w:r w:rsidR="003F1D9C" w:rsidRPr="00AA2FF2">
        <w:rPr>
          <w:rFonts w:ascii="TheSansOffice" w:hAnsi="TheSansOffice"/>
          <w:sz w:val="24"/>
          <w:szCs w:val="24"/>
        </w:rPr>
        <w:t>wodurch sich der</w:t>
      </w:r>
      <w:r w:rsidRPr="00AA2FF2">
        <w:rPr>
          <w:rFonts w:ascii="TheSansOffice" w:hAnsi="TheSansOffice"/>
          <w:sz w:val="24"/>
          <w:szCs w:val="24"/>
        </w:rPr>
        <w:t xml:space="preserve"> Umsatz</w:t>
      </w:r>
      <w:r w:rsidR="003F1D9C" w:rsidRPr="00AA2FF2">
        <w:rPr>
          <w:rFonts w:ascii="TheSansOffice" w:hAnsi="TheSansOffice"/>
          <w:sz w:val="24"/>
          <w:szCs w:val="24"/>
        </w:rPr>
        <w:t xml:space="preserve"> auf </w:t>
      </w:r>
      <w:r w:rsidRPr="00AA2FF2">
        <w:rPr>
          <w:rFonts w:ascii="TheSansOffice" w:hAnsi="TheSansOffice"/>
          <w:sz w:val="24"/>
          <w:szCs w:val="24"/>
        </w:rPr>
        <w:t>etwa</w:t>
      </w:r>
      <w:r w:rsidR="003F1D9C" w:rsidRPr="00AA2FF2">
        <w:rPr>
          <w:rFonts w:ascii="TheSansOffice" w:hAnsi="TheSansOffice"/>
          <w:sz w:val="24"/>
          <w:szCs w:val="24"/>
        </w:rPr>
        <w:t xml:space="preserve"> </w:t>
      </w:r>
      <w:r w:rsidRPr="00AA2FF2">
        <w:rPr>
          <w:rFonts w:ascii="TheSansOffice" w:hAnsi="TheSansOffice"/>
          <w:sz w:val="24"/>
          <w:szCs w:val="24"/>
        </w:rPr>
        <w:t>10 Mrd. Euro hält.</w:t>
      </w:r>
    </w:p>
    <w:p w14:paraId="348B1AAC" w14:textId="28A08DBC" w:rsidR="009355B7" w:rsidRPr="00AA2FF2" w:rsidRDefault="003F1D9C" w:rsidP="009355B7">
      <w:pPr>
        <w:rPr>
          <w:rFonts w:ascii="TheSansOffice" w:hAnsi="TheSansOffice"/>
          <w:sz w:val="24"/>
          <w:szCs w:val="24"/>
        </w:rPr>
      </w:pPr>
      <w:r w:rsidRPr="00AA2FF2">
        <w:rPr>
          <w:rFonts w:ascii="TheSansOffice" w:hAnsi="TheSansOffice"/>
          <w:sz w:val="24"/>
          <w:szCs w:val="24"/>
        </w:rPr>
        <w:t xml:space="preserve">Im </w:t>
      </w:r>
      <w:r w:rsidRPr="00AA2FF2">
        <w:rPr>
          <w:rFonts w:ascii="TheSansOffice" w:hAnsi="TheSansOffice"/>
          <w:i/>
          <w:iCs/>
          <w:sz w:val="24"/>
          <w:szCs w:val="24"/>
        </w:rPr>
        <w:t>öffentlichen Tiefbau</w:t>
      </w:r>
      <w:r w:rsidRPr="00AA2FF2">
        <w:rPr>
          <w:rFonts w:ascii="TheSansOffice" w:hAnsi="TheSansOffice"/>
          <w:sz w:val="24"/>
          <w:szCs w:val="24"/>
        </w:rPr>
        <w:t xml:space="preserve"> </w:t>
      </w:r>
      <w:r w:rsidR="009355B7" w:rsidRPr="00AA2FF2">
        <w:rPr>
          <w:rFonts w:ascii="TheSansOffice" w:hAnsi="TheSansOffice"/>
          <w:sz w:val="24"/>
          <w:szCs w:val="24"/>
        </w:rPr>
        <w:t xml:space="preserve">erwarten </w:t>
      </w:r>
      <w:r w:rsidR="00BE0238" w:rsidRPr="00AA2FF2">
        <w:rPr>
          <w:rFonts w:ascii="TheSansOffice" w:hAnsi="TheSansOffice"/>
          <w:sz w:val="24"/>
          <w:szCs w:val="24"/>
        </w:rPr>
        <w:t xml:space="preserve">wir </w:t>
      </w:r>
      <w:r w:rsidRPr="00AA2FF2">
        <w:rPr>
          <w:rFonts w:ascii="TheSansOffice" w:hAnsi="TheSansOffice"/>
          <w:sz w:val="24"/>
          <w:szCs w:val="24"/>
        </w:rPr>
        <w:t xml:space="preserve">für 2024 </w:t>
      </w:r>
      <w:r w:rsidR="009355B7" w:rsidRPr="00AA2FF2">
        <w:rPr>
          <w:rFonts w:ascii="TheSansOffice" w:hAnsi="TheSansOffice"/>
          <w:sz w:val="24"/>
          <w:szCs w:val="24"/>
        </w:rPr>
        <w:t xml:space="preserve">einen Umsatz </w:t>
      </w:r>
      <w:r w:rsidRPr="00AA2FF2">
        <w:rPr>
          <w:rFonts w:ascii="TheSansOffice" w:hAnsi="TheSansOffice"/>
          <w:sz w:val="24"/>
          <w:szCs w:val="24"/>
        </w:rPr>
        <w:t>von</w:t>
      </w:r>
      <w:r w:rsidR="006976EE" w:rsidRPr="00AA2FF2">
        <w:rPr>
          <w:rFonts w:ascii="TheSansOffice" w:hAnsi="TheSansOffice"/>
          <w:sz w:val="24"/>
          <w:szCs w:val="24"/>
        </w:rPr>
        <w:t xml:space="preserve"> </w:t>
      </w:r>
      <w:r w:rsidR="009355B7" w:rsidRPr="00AA2FF2">
        <w:rPr>
          <w:rFonts w:ascii="TheSansOffice" w:hAnsi="TheSansOffice"/>
          <w:sz w:val="24"/>
          <w:szCs w:val="24"/>
        </w:rPr>
        <w:t>37 Mrd. Euro</w:t>
      </w:r>
      <w:r w:rsidRPr="00AA2FF2">
        <w:rPr>
          <w:rFonts w:ascii="TheSansOffice" w:hAnsi="TheSansOffice"/>
          <w:sz w:val="24"/>
          <w:szCs w:val="24"/>
        </w:rPr>
        <w:t xml:space="preserve">, was einem nominalen Wachstum von etwa 5,5 </w:t>
      </w:r>
      <w:r w:rsidR="009D56AB" w:rsidRPr="00AA2FF2">
        <w:rPr>
          <w:rFonts w:ascii="TheSansOffice" w:hAnsi="TheSansOffice"/>
          <w:sz w:val="24"/>
          <w:szCs w:val="24"/>
        </w:rPr>
        <w:t>Prozent</w:t>
      </w:r>
      <w:r w:rsidRPr="00AA2FF2">
        <w:rPr>
          <w:rFonts w:ascii="TheSansOffice" w:hAnsi="TheSansOffice"/>
          <w:sz w:val="24"/>
          <w:szCs w:val="24"/>
        </w:rPr>
        <w:t xml:space="preserve"> und einem realen Plus von rund 3,5 </w:t>
      </w:r>
      <w:r w:rsidR="009D56AB" w:rsidRPr="00AA2FF2">
        <w:rPr>
          <w:rFonts w:ascii="TheSansOffice" w:hAnsi="TheSansOffice"/>
          <w:sz w:val="24"/>
          <w:szCs w:val="24"/>
        </w:rPr>
        <w:t>Prozent</w:t>
      </w:r>
      <w:r w:rsidRPr="00AA2FF2">
        <w:rPr>
          <w:rFonts w:ascii="TheSansOffice" w:hAnsi="TheSansOffice"/>
          <w:sz w:val="24"/>
          <w:szCs w:val="24"/>
        </w:rPr>
        <w:t xml:space="preserve"> entspricht. </w:t>
      </w:r>
      <w:r w:rsidR="009355B7" w:rsidRPr="00AA2FF2">
        <w:rPr>
          <w:rFonts w:ascii="TheSansOffice" w:hAnsi="TheSansOffice"/>
          <w:sz w:val="24"/>
          <w:szCs w:val="24"/>
        </w:rPr>
        <w:t>Für 2025 rechnen wir mit eine</w:t>
      </w:r>
      <w:r w:rsidRPr="00AA2FF2">
        <w:rPr>
          <w:rFonts w:ascii="TheSansOffice" w:hAnsi="TheSansOffice"/>
          <w:sz w:val="24"/>
          <w:szCs w:val="24"/>
        </w:rPr>
        <w:t>m weiteren nominalen Anstieg um 3 Prozent, wodurch der Umsatz gut 38 Mrd. Euro erreichen sollte.</w:t>
      </w:r>
    </w:p>
    <w:p w14:paraId="7F977783" w14:textId="1017EBC9" w:rsidR="009355B7" w:rsidRPr="00AA2FF2" w:rsidRDefault="00E4368C">
      <w:pPr>
        <w:rPr>
          <w:rFonts w:ascii="TheSansOffice" w:hAnsi="TheSansOffice"/>
          <w:i/>
          <w:sz w:val="24"/>
          <w:szCs w:val="24"/>
        </w:rPr>
      </w:pPr>
      <w:r w:rsidRPr="00AA2FF2">
        <w:rPr>
          <w:rFonts w:ascii="TheSansOffice" w:hAnsi="TheSansOffice"/>
          <w:i/>
          <w:sz w:val="24"/>
          <w:szCs w:val="24"/>
        </w:rPr>
        <w:t xml:space="preserve">Insgesamt </w:t>
      </w:r>
      <w:r w:rsidRPr="00AA2FF2">
        <w:rPr>
          <w:rFonts w:ascii="TheSansOffice" w:hAnsi="TheSansOffice"/>
          <w:iCs/>
          <w:sz w:val="24"/>
          <w:szCs w:val="24"/>
        </w:rPr>
        <w:t>wird der</w:t>
      </w:r>
      <w:r w:rsidRPr="00AA2FF2">
        <w:rPr>
          <w:rFonts w:ascii="TheSansOffice" w:hAnsi="TheSansOffice"/>
          <w:i/>
          <w:sz w:val="24"/>
          <w:szCs w:val="24"/>
        </w:rPr>
        <w:t xml:space="preserve"> Umsatz </w:t>
      </w:r>
      <w:r w:rsidRPr="00AA2FF2">
        <w:rPr>
          <w:rFonts w:ascii="TheSansOffice" w:hAnsi="TheSansOffice"/>
          <w:iCs/>
          <w:sz w:val="24"/>
          <w:szCs w:val="24"/>
        </w:rPr>
        <w:t xml:space="preserve">im öffentlichen Bau für 2024 auf rund 47 Milliarden Euro geschätzt, was einem nominalen Zuwachs von 5,3 </w:t>
      </w:r>
      <w:r w:rsidR="009D56AB" w:rsidRPr="00AA2FF2">
        <w:rPr>
          <w:rFonts w:ascii="TheSansOffice" w:hAnsi="TheSansOffice"/>
          <w:iCs/>
          <w:sz w:val="24"/>
          <w:szCs w:val="24"/>
        </w:rPr>
        <w:t>Prozent</w:t>
      </w:r>
      <w:r w:rsidRPr="00AA2FF2">
        <w:rPr>
          <w:rFonts w:ascii="TheSansOffice" w:hAnsi="TheSansOffice"/>
          <w:iCs/>
          <w:sz w:val="24"/>
          <w:szCs w:val="24"/>
        </w:rPr>
        <w:t xml:space="preserve"> und einem realen Plus von 3,3 </w:t>
      </w:r>
      <w:r w:rsidR="009D56AB" w:rsidRPr="00AA2FF2">
        <w:rPr>
          <w:rFonts w:ascii="TheSansOffice" w:hAnsi="TheSansOffice"/>
          <w:iCs/>
          <w:sz w:val="24"/>
          <w:szCs w:val="24"/>
        </w:rPr>
        <w:t>Prozent</w:t>
      </w:r>
      <w:r w:rsidRPr="00AA2FF2">
        <w:rPr>
          <w:rFonts w:ascii="TheSansOffice" w:hAnsi="TheSansOffice"/>
          <w:iCs/>
          <w:sz w:val="24"/>
          <w:szCs w:val="24"/>
        </w:rPr>
        <w:t xml:space="preserve"> entspricht. Für 2025 gehen wir von einem Umsatz von gut 48 Milliarden Euro aus, einem nominalen Wachstum von 2,7 </w:t>
      </w:r>
      <w:r w:rsidR="009D56AB" w:rsidRPr="00AA2FF2">
        <w:rPr>
          <w:rFonts w:ascii="TheSansOffice" w:hAnsi="TheSansOffice"/>
          <w:iCs/>
          <w:sz w:val="24"/>
          <w:szCs w:val="24"/>
        </w:rPr>
        <w:t>Prozent</w:t>
      </w:r>
      <w:r w:rsidRPr="00AA2FF2">
        <w:rPr>
          <w:rFonts w:ascii="TheSansOffice" w:hAnsi="TheSansOffice"/>
          <w:iCs/>
          <w:sz w:val="24"/>
          <w:szCs w:val="24"/>
        </w:rPr>
        <w:t xml:space="preserve"> und einer nahezu stagnierenden realen Entwicklung von 0,2</w:t>
      </w:r>
      <w:r w:rsidRPr="00AA2FF2">
        <w:rPr>
          <w:rFonts w:ascii="TheSansOffice" w:hAnsi="TheSansOffice"/>
          <w:i/>
          <w:sz w:val="24"/>
          <w:szCs w:val="24"/>
        </w:rPr>
        <w:t xml:space="preserve"> </w:t>
      </w:r>
      <w:r w:rsidR="009D56AB" w:rsidRPr="00AA2FF2">
        <w:rPr>
          <w:rFonts w:ascii="TheSansOffice" w:hAnsi="TheSansOffice"/>
          <w:iCs/>
          <w:sz w:val="24"/>
          <w:szCs w:val="24"/>
        </w:rPr>
        <w:t>Prozent</w:t>
      </w:r>
      <w:r w:rsidRPr="00AA2FF2">
        <w:rPr>
          <w:rFonts w:ascii="TheSansOffice" w:hAnsi="TheSansOffice"/>
          <w:i/>
          <w:sz w:val="24"/>
          <w:szCs w:val="24"/>
        </w:rPr>
        <w:t>.</w:t>
      </w:r>
    </w:p>
    <w:p w14:paraId="740CB339" w14:textId="77777777" w:rsidR="00AA2FF2" w:rsidRPr="00AA2FF2" w:rsidRDefault="00AA2FF2">
      <w:pPr>
        <w:rPr>
          <w:rFonts w:ascii="TheSansOffice" w:hAnsi="TheSansOffice"/>
          <w:iCs/>
          <w:sz w:val="24"/>
          <w:szCs w:val="24"/>
        </w:rPr>
      </w:pPr>
    </w:p>
    <w:p w14:paraId="368098EA" w14:textId="77777777" w:rsidR="00AA2FF2" w:rsidRPr="00AA2FF2" w:rsidRDefault="00AA2FF2" w:rsidP="00AA2FF2">
      <w:pPr>
        <w:rPr>
          <w:rFonts w:ascii="TheSansOffice" w:eastAsia="Aptos" w:hAnsi="TheSansOffice"/>
          <w:b/>
          <w:kern w:val="2"/>
          <w:sz w:val="24"/>
          <w:szCs w:val="24"/>
          <w14:ligatures w14:val="standardContextual"/>
        </w:rPr>
      </w:pPr>
      <w:r w:rsidRPr="00AA2FF2">
        <w:rPr>
          <w:rFonts w:ascii="TheSansOffice" w:eastAsia="Aptos" w:hAnsi="TheSansOffice"/>
          <w:b/>
          <w:kern w:val="2"/>
          <w:sz w:val="24"/>
          <w:szCs w:val="24"/>
          <w14:ligatures w14:val="standardContextual"/>
        </w:rPr>
        <w:t>ZDB-Präsident fordert einen Neustart Bau</w:t>
      </w:r>
    </w:p>
    <w:p w14:paraId="7E77119C" w14:textId="08D629A5" w:rsidR="00AA2FF2" w:rsidRPr="00AA2FF2" w:rsidRDefault="00AA2FF2" w:rsidP="00AA2FF2">
      <w:pPr>
        <w:rPr>
          <w:rFonts w:ascii="TheSansOffice" w:eastAsia="Aptos" w:hAnsi="TheSansOffice"/>
          <w:b/>
          <w:kern w:val="2"/>
          <w:sz w:val="24"/>
          <w:szCs w:val="24"/>
          <w14:ligatures w14:val="standardContextual"/>
        </w:rPr>
      </w:pPr>
      <w:r w:rsidRPr="00AA2FF2">
        <w:rPr>
          <w:rFonts w:ascii="TheSansOffice" w:eastAsia="Aptos" w:hAnsi="TheSansOffice"/>
          <w:kern w:val="2"/>
          <w:sz w:val="24"/>
          <w:szCs w:val="24"/>
          <w14:ligatures w14:val="standardContextual"/>
        </w:rPr>
        <w:t>Das Baugewerbe ist unverzichtbar für die Bewältigung zentraler Herausforderungen wie Wohnraumbeschaffung, Infrastrukturentwicklung, Energiewende und Klimaschutz. Mittelständische Bauunternehmen, die 70 Prozent des Branchenumsatzes erwirtschaften, tragen als Rückgrat der Wirtschaft 85 Prozent des Wohnungsbaus und 60 Prozent des Infrastrukturbaus in Deutschland. Angesichts sinkender Baugenehmigungen, hoher Zinsen und sanierungsbedürftiger Infrastruktur ist ein politischer Neustart Bau unumgänglich. Wichtig dabei sind verlässliche Rahmenbedingungen für eine erfolgreiche Umsetzung von Bauaufgaben durch mittelständische Unternehmen.</w:t>
      </w:r>
    </w:p>
    <w:p w14:paraId="38EB8E40" w14:textId="77777777" w:rsidR="00AA2FF2" w:rsidRPr="00AA2FF2" w:rsidRDefault="00AA2FF2" w:rsidP="00AA2FF2">
      <w:pPr>
        <w:rPr>
          <w:rFonts w:ascii="TheSansOffice" w:eastAsia="Aptos" w:hAnsi="TheSansOffice"/>
          <w:b/>
          <w:kern w:val="2"/>
          <w:sz w:val="24"/>
          <w:szCs w:val="24"/>
          <w14:ligatures w14:val="standardContextual"/>
        </w:rPr>
      </w:pPr>
      <w:r w:rsidRPr="00AA2FF2">
        <w:rPr>
          <w:rFonts w:ascii="TheSansOffice" w:eastAsia="Aptos" w:hAnsi="TheSansOffice"/>
          <w:kern w:val="2"/>
          <w:sz w:val="24"/>
          <w:szCs w:val="24"/>
          <w14:ligatures w14:val="standardContextual"/>
        </w:rPr>
        <w:t>Außerdem brauchen wir ein starkes Bauministerium, das Bauen, Sanieren und Förderpolitik in einer Hand bündelt. Eine enge Verzahnung von Klimaschutz und Baupolitik ist erforderlich, um ökologische und ökonomische Ziele in Einklang zu bringen und attraktives Bauen zu ermöglichen.</w:t>
      </w:r>
    </w:p>
    <w:p w14:paraId="3FBCFB67" w14:textId="1B084CA6" w:rsidR="00AA2FF2" w:rsidRPr="00AA2FF2" w:rsidRDefault="00AA2FF2" w:rsidP="00AA2FF2">
      <w:pPr>
        <w:rPr>
          <w:rFonts w:ascii="TheSansOffice" w:eastAsia="Aptos" w:hAnsi="TheSansOffice"/>
          <w:b/>
          <w:kern w:val="2"/>
          <w:sz w:val="24"/>
          <w:szCs w:val="24"/>
          <w14:ligatures w14:val="standardContextual"/>
        </w:rPr>
      </w:pPr>
      <w:r w:rsidRPr="00AA2FF2">
        <w:rPr>
          <w:rFonts w:ascii="TheSansOffice" w:eastAsia="Aptos" w:hAnsi="TheSansOffice"/>
          <w:kern w:val="2"/>
          <w:sz w:val="24"/>
          <w:szCs w:val="24"/>
          <w14:ligatures w14:val="standardContextual"/>
        </w:rPr>
        <w:t>Die Bauwirtschaft ist bereit, ihren Beitrag zur Modernisierung von Infrastruktur und Wohnungsbau zu leisten, doch es braucht jetzt klare politische Weichenstellungen, um den dringend notwendigen Investitionsschub auszulösen.</w:t>
      </w:r>
    </w:p>
    <w:p w14:paraId="2B99633B" w14:textId="77777777" w:rsidR="00AA2FF2" w:rsidRPr="00AA2FF2" w:rsidRDefault="00AA2FF2">
      <w:pPr>
        <w:rPr>
          <w:rFonts w:ascii="TheSansOffice" w:hAnsi="TheSansOffice"/>
          <w:iCs/>
          <w:sz w:val="24"/>
          <w:szCs w:val="24"/>
        </w:rPr>
      </w:pPr>
    </w:p>
    <w:sectPr w:rsidR="00AA2FF2" w:rsidRPr="00AA2FF2" w:rsidSect="00AB5ABE">
      <w:footerReference w:type="default" r:id="rId11"/>
      <w:footerReference w:type="first" r:id="rId12"/>
      <w:pgSz w:w="11906" w:h="16838"/>
      <w:pgMar w:top="1134" w:right="1418" w:bottom="851" w:left="1418"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969FD" w14:textId="77777777" w:rsidR="00C324C5" w:rsidRDefault="00C324C5" w:rsidP="005E70BF">
      <w:pPr>
        <w:spacing w:after="0" w:line="240" w:lineRule="auto"/>
      </w:pPr>
      <w:r>
        <w:separator/>
      </w:r>
    </w:p>
  </w:endnote>
  <w:endnote w:type="continuationSeparator" w:id="0">
    <w:p w14:paraId="1531CDE5" w14:textId="77777777" w:rsidR="00C324C5" w:rsidRDefault="00C324C5" w:rsidP="005E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Office">
    <w:altName w:val="Calibri"/>
    <w:panose1 w:val="020B0503040302060204"/>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307350"/>
      <w:docPartObj>
        <w:docPartGallery w:val="Page Numbers (Bottom of Page)"/>
        <w:docPartUnique/>
      </w:docPartObj>
    </w:sdtPr>
    <w:sdtEndPr/>
    <w:sdtContent>
      <w:p w14:paraId="46B32214" w14:textId="6CF222B6" w:rsidR="00705DAD" w:rsidRDefault="00705DAD">
        <w:pPr>
          <w:pStyle w:val="Fuzeile"/>
          <w:jc w:val="right"/>
        </w:pPr>
        <w:r>
          <w:fldChar w:fldCharType="begin"/>
        </w:r>
        <w:r>
          <w:instrText>PAGE   \* MERGEFORMAT</w:instrText>
        </w:r>
        <w:r>
          <w:fldChar w:fldCharType="separate"/>
        </w:r>
        <w:r w:rsidR="00176055">
          <w:rPr>
            <w:noProof/>
          </w:rPr>
          <w:t>11</w:t>
        </w:r>
        <w:r>
          <w:fldChar w:fldCharType="end"/>
        </w:r>
      </w:p>
    </w:sdtContent>
  </w:sdt>
  <w:p w14:paraId="3122E75C" w14:textId="52A2B2D3" w:rsidR="00705DAD" w:rsidRDefault="00705D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6"/>
      <w:gridCol w:w="1814"/>
    </w:tblGrid>
    <w:sdt>
      <w:sdtPr>
        <w:rPr>
          <w:rFonts w:asciiTheme="majorHAnsi" w:eastAsiaTheme="majorEastAsia" w:hAnsiTheme="majorHAnsi" w:cstheme="majorBidi"/>
          <w:sz w:val="20"/>
          <w:szCs w:val="20"/>
        </w:rPr>
        <w:id w:val="-1076662411"/>
        <w:docPartObj>
          <w:docPartGallery w:val="Page Numbers (Bottom of Page)"/>
          <w:docPartUnique/>
        </w:docPartObj>
      </w:sdtPr>
      <w:sdtEndPr>
        <w:rPr>
          <w:rFonts w:asciiTheme="minorHAnsi" w:eastAsiaTheme="minorHAnsi" w:hAnsiTheme="minorHAnsi" w:cstheme="minorBidi"/>
          <w:sz w:val="22"/>
          <w:szCs w:val="22"/>
        </w:rPr>
      </w:sdtEndPr>
      <w:sdtContent>
        <w:tr w:rsidR="00705DAD" w14:paraId="2B3EE49C" w14:textId="77777777">
          <w:trPr>
            <w:trHeight w:val="727"/>
          </w:trPr>
          <w:tc>
            <w:tcPr>
              <w:tcW w:w="4000" w:type="pct"/>
              <w:tcBorders>
                <w:right w:val="triple" w:sz="4" w:space="0" w:color="5B9BD5" w:themeColor="accent1"/>
              </w:tcBorders>
            </w:tcPr>
            <w:p w14:paraId="7767E343" w14:textId="630F6032" w:rsidR="00705DAD" w:rsidRDefault="00705DA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67866E35" w14:textId="2D9B182C" w:rsidR="00705DAD" w:rsidRDefault="00705DA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14:paraId="79E38E2D" w14:textId="77777777" w:rsidR="00705DAD" w:rsidRDefault="00705D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C305A" w14:textId="77777777" w:rsidR="00C324C5" w:rsidRDefault="00C324C5" w:rsidP="005E70BF">
      <w:pPr>
        <w:spacing w:after="0" w:line="240" w:lineRule="auto"/>
      </w:pPr>
      <w:r>
        <w:separator/>
      </w:r>
    </w:p>
  </w:footnote>
  <w:footnote w:type="continuationSeparator" w:id="0">
    <w:p w14:paraId="6C429840" w14:textId="77777777" w:rsidR="00C324C5" w:rsidRDefault="00C324C5" w:rsidP="005E7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806C2"/>
    <w:multiLevelType w:val="hybridMultilevel"/>
    <w:tmpl w:val="C01C7D16"/>
    <w:lvl w:ilvl="0" w:tplc="137A72CA">
      <w:start w:val="1"/>
      <w:numFmt w:val="bullet"/>
      <w:lvlText w:val=""/>
      <w:lvlJc w:val="left"/>
      <w:pPr>
        <w:tabs>
          <w:tab w:val="num" w:pos="720"/>
        </w:tabs>
        <w:ind w:left="720" w:hanging="360"/>
      </w:pPr>
      <w:rPr>
        <w:rFonts w:ascii="Wingdings" w:hAnsi="Wingdings" w:hint="default"/>
      </w:rPr>
    </w:lvl>
    <w:lvl w:ilvl="1" w:tplc="16C28F90">
      <w:start w:val="1"/>
      <w:numFmt w:val="bullet"/>
      <w:lvlText w:val=""/>
      <w:lvlJc w:val="left"/>
      <w:pPr>
        <w:tabs>
          <w:tab w:val="num" w:pos="1440"/>
        </w:tabs>
        <w:ind w:left="1440" w:hanging="360"/>
      </w:pPr>
      <w:rPr>
        <w:rFonts w:ascii="Wingdings" w:hAnsi="Wingdings" w:hint="default"/>
      </w:rPr>
    </w:lvl>
    <w:lvl w:ilvl="2" w:tplc="000C14EC" w:tentative="1">
      <w:start w:val="1"/>
      <w:numFmt w:val="bullet"/>
      <w:lvlText w:val=""/>
      <w:lvlJc w:val="left"/>
      <w:pPr>
        <w:tabs>
          <w:tab w:val="num" w:pos="2160"/>
        </w:tabs>
        <w:ind w:left="2160" w:hanging="360"/>
      </w:pPr>
      <w:rPr>
        <w:rFonts w:ascii="Wingdings" w:hAnsi="Wingdings" w:hint="default"/>
      </w:rPr>
    </w:lvl>
    <w:lvl w:ilvl="3" w:tplc="0C4411EE" w:tentative="1">
      <w:start w:val="1"/>
      <w:numFmt w:val="bullet"/>
      <w:lvlText w:val=""/>
      <w:lvlJc w:val="left"/>
      <w:pPr>
        <w:tabs>
          <w:tab w:val="num" w:pos="2880"/>
        </w:tabs>
        <w:ind w:left="2880" w:hanging="360"/>
      </w:pPr>
      <w:rPr>
        <w:rFonts w:ascii="Wingdings" w:hAnsi="Wingdings" w:hint="default"/>
      </w:rPr>
    </w:lvl>
    <w:lvl w:ilvl="4" w:tplc="58DEB668" w:tentative="1">
      <w:start w:val="1"/>
      <w:numFmt w:val="bullet"/>
      <w:lvlText w:val=""/>
      <w:lvlJc w:val="left"/>
      <w:pPr>
        <w:tabs>
          <w:tab w:val="num" w:pos="3600"/>
        </w:tabs>
        <w:ind w:left="3600" w:hanging="360"/>
      </w:pPr>
      <w:rPr>
        <w:rFonts w:ascii="Wingdings" w:hAnsi="Wingdings" w:hint="default"/>
      </w:rPr>
    </w:lvl>
    <w:lvl w:ilvl="5" w:tplc="4ED22FD8" w:tentative="1">
      <w:start w:val="1"/>
      <w:numFmt w:val="bullet"/>
      <w:lvlText w:val=""/>
      <w:lvlJc w:val="left"/>
      <w:pPr>
        <w:tabs>
          <w:tab w:val="num" w:pos="4320"/>
        </w:tabs>
        <w:ind w:left="4320" w:hanging="360"/>
      </w:pPr>
      <w:rPr>
        <w:rFonts w:ascii="Wingdings" w:hAnsi="Wingdings" w:hint="default"/>
      </w:rPr>
    </w:lvl>
    <w:lvl w:ilvl="6" w:tplc="D97E603E" w:tentative="1">
      <w:start w:val="1"/>
      <w:numFmt w:val="bullet"/>
      <w:lvlText w:val=""/>
      <w:lvlJc w:val="left"/>
      <w:pPr>
        <w:tabs>
          <w:tab w:val="num" w:pos="5040"/>
        </w:tabs>
        <w:ind w:left="5040" w:hanging="360"/>
      </w:pPr>
      <w:rPr>
        <w:rFonts w:ascii="Wingdings" w:hAnsi="Wingdings" w:hint="default"/>
      </w:rPr>
    </w:lvl>
    <w:lvl w:ilvl="7" w:tplc="897A76EC" w:tentative="1">
      <w:start w:val="1"/>
      <w:numFmt w:val="bullet"/>
      <w:lvlText w:val=""/>
      <w:lvlJc w:val="left"/>
      <w:pPr>
        <w:tabs>
          <w:tab w:val="num" w:pos="5760"/>
        </w:tabs>
        <w:ind w:left="5760" w:hanging="360"/>
      </w:pPr>
      <w:rPr>
        <w:rFonts w:ascii="Wingdings" w:hAnsi="Wingdings" w:hint="default"/>
      </w:rPr>
    </w:lvl>
    <w:lvl w:ilvl="8" w:tplc="9642DD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712281"/>
    <w:multiLevelType w:val="hybridMultilevel"/>
    <w:tmpl w:val="C0669C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A30375"/>
    <w:multiLevelType w:val="hybridMultilevel"/>
    <w:tmpl w:val="93722B0C"/>
    <w:lvl w:ilvl="0" w:tplc="E38E48B6">
      <w:start w:val="1"/>
      <w:numFmt w:val="bullet"/>
      <w:lvlText w:val=""/>
      <w:lvlJc w:val="left"/>
      <w:pPr>
        <w:tabs>
          <w:tab w:val="num" w:pos="720"/>
        </w:tabs>
        <w:ind w:left="720" w:hanging="360"/>
      </w:pPr>
      <w:rPr>
        <w:rFonts w:ascii="Wingdings" w:hAnsi="Wingdings" w:hint="default"/>
      </w:rPr>
    </w:lvl>
    <w:lvl w:ilvl="1" w:tplc="CE96CFDC">
      <w:start w:val="1"/>
      <w:numFmt w:val="bullet"/>
      <w:lvlText w:val=""/>
      <w:lvlJc w:val="left"/>
      <w:pPr>
        <w:tabs>
          <w:tab w:val="num" w:pos="1440"/>
        </w:tabs>
        <w:ind w:left="1440" w:hanging="360"/>
      </w:pPr>
      <w:rPr>
        <w:rFonts w:ascii="Wingdings" w:hAnsi="Wingdings" w:hint="default"/>
      </w:rPr>
    </w:lvl>
    <w:lvl w:ilvl="2" w:tplc="CBD069A8" w:tentative="1">
      <w:start w:val="1"/>
      <w:numFmt w:val="bullet"/>
      <w:lvlText w:val=""/>
      <w:lvlJc w:val="left"/>
      <w:pPr>
        <w:tabs>
          <w:tab w:val="num" w:pos="2160"/>
        </w:tabs>
        <w:ind w:left="2160" w:hanging="360"/>
      </w:pPr>
      <w:rPr>
        <w:rFonts w:ascii="Wingdings" w:hAnsi="Wingdings" w:hint="default"/>
      </w:rPr>
    </w:lvl>
    <w:lvl w:ilvl="3" w:tplc="B574CBDA" w:tentative="1">
      <w:start w:val="1"/>
      <w:numFmt w:val="bullet"/>
      <w:lvlText w:val=""/>
      <w:lvlJc w:val="left"/>
      <w:pPr>
        <w:tabs>
          <w:tab w:val="num" w:pos="2880"/>
        </w:tabs>
        <w:ind w:left="2880" w:hanging="360"/>
      </w:pPr>
      <w:rPr>
        <w:rFonts w:ascii="Wingdings" w:hAnsi="Wingdings" w:hint="default"/>
      </w:rPr>
    </w:lvl>
    <w:lvl w:ilvl="4" w:tplc="161EC51C" w:tentative="1">
      <w:start w:val="1"/>
      <w:numFmt w:val="bullet"/>
      <w:lvlText w:val=""/>
      <w:lvlJc w:val="left"/>
      <w:pPr>
        <w:tabs>
          <w:tab w:val="num" w:pos="3600"/>
        </w:tabs>
        <w:ind w:left="3600" w:hanging="360"/>
      </w:pPr>
      <w:rPr>
        <w:rFonts w:ascii="Wingdings" w:hAnsi="Wingdings" w:hint="default"/>
      </w:rPr>
    </w:lvl>
    <w:lvl w:ilvl="5" w:tplc="56DE0766" w:tentative="1">
      <w:start w:val="1"/>
      <w:numFmt w:val="bullet"/>
      <w:lvlText w:val=""/>
      <w:lvlJc w:val="left"/>
      <w:pPr>
        <w:tabs>
          <w:tab w:val="num" w:pos="4320"/>
        </w:tabs>
        <w:ind w:left="4320" w:hanging="360"/>
      </w:pPr>
      <w:rPr>
        <w:rFonts w:ascii="Wingdings" w:hAnsi="Wingdings" w:hint="default"/>
      </w:rPr>
    </w:lvl>
    <w:lvl w:ilvl="6" w:tplc="50B6B6DA" w:tentative="1">
      <w:start w:val="1"/>
      <w:numFmt w:val="bullet"/>
      <w:lvlText w:val=""/>
      <w:lvlJc w:val="left"/>
      <w:pPr>
        <w:tabs>
          <w:tab w:val="num" w:pos="5040"/>
        </w:tabs>
        <w:ind w:left="5040" w:hanging="360"/>
      </w:pPr>
      <w:rPr>
        <w:rFonts w:ascii="Wingdings" w:hAnsi="Wingdings" w:hint="default"/>
      </w:rPr>
    </w:lvl>
    <w:lvl w:ilvl="7" w:tplc="6DC48DEA" w:tentative="1">
      <w:start w:val="1"/>
      <w:numFmt w:val="bullet"/>
      <w:lvlText w:val=""/>
      <w:lvlJc w:val="left"/>
      <w:pPr>
        <w:tabs>
          <w:tab w:val="num" w:pos="5760"/>
        </w:tabs>
        <w:ind w:left="5760" w:hanging="360"/>
      </w:pPr>
      <w:rPr>
        <w:rFonts w:ascii="Wingdings" w:hAnsi="Wingdings" w:hint="default"/>
      </w:rPr>
    </w:lvl>
    <w:lvl w:ilvl="8" w:tplc="C4404C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0136A"/>
    <w:multiLevelType w:val="hybridMultilevel"/>
    <w:tmpl w:val="1DEAE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E61DAA"/>
    <w:multiLevelType w:val="hybridMultilevel"/>
    <w:tmpl w:val="99E21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65B05"/>
    <w:multiLevelType w:val="hybridMultilevel"/>
    <w:tmpl w:val="476C7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65933"/>
    <w:multiLevelType w:val="hybridMultilevel"/>
    <w:tmpl w:val="95E4C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DB781C"/>
    <w:multiLevelType w:val="hybridMultilevel"/>
    <w:tmpl w:val="30323CE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839847">
    <w:abstractNumId w:val="3"/>
  </w:num>
  <w:num w:numId="2" w16cid:durableId="1240291310">
    <w:abstractNumId w:val="1"/>
  </w:num>
  <w:num w:numId="3" w16cid:durableId="1003047748">
    <w:abstractNumId w:val="0"/>
  </w:num>
  <w:num w:numId="4" w16cid:durableId="1028482773">
    <w:abstractNumId w:val="2"/>
  </w:num>
  <w:num w:numId="5" w16cid:durableId="1736052861">
    <w:abstractNumId w:val="5"/>
  </w:num>
  <w:num w:numId="6" w16cid:durableId="778524704">
    <w:abstractNumId w:val="6"/>
  </w:num>
  <w:num w:numId="7" w16cid:durableId="1366491769">
    <w:abstractNumId w:val="4"/>
  </w:num>
  <w:num w:numId="8" w16cid:durableId="246114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C5"/>
    <w:rsid w:val="00014454"/>
    <w:rsid w:val="000220D7"/>
    <w:rsid w:val="00032D5B"/>
    <w:rsid w:val="00053FB7"/>
    <w:rsid w:val="00063B7C"/>
    <w:rsid w:val="0008505C"/>
    <w:rsid w:val="000911FA"/>
    <w:rsid w:val="000A3469"/>
    <w:rsid w:val="000A57FB"/>
    <w:rsid w:val="000B6F1B"/>
    <w:rsid w:val="000D0B39"/>
    <w:rsid w:val="000E0B93"/>
    <w:rsid w:val="000E10F0"/>
    <w:rsid w:val="00112C03"/>
    <w:rsid w:val="001139DF"/>
    <w:rsid w:val="0011596C"/>
    <w:rsid w:val="00123CD3"/>
    <w:rsid w:val="00124C00"/>
    <w:rsid w:val="00125F95"/>
    <w:rsid w:val="00126C79"/>
    <w:rsid w:val="001342D0"/>
    <w:rsid w:val="00135DC8"/>
    <w:rsid w:val="00136099"/>
    <w:rsid w:val="0014019A"/>
    <w:rsid w:val="0016396B"/>
    <w:rsid w:val="00176055"/>
    <w:rsid w:val="00180C99"/>
    <w:rsid w:val="001C0543"/>
    <w:rsid w:val="001C59A4"/>
    <w:rsid w:val="001D1ECE"/>
    <w:rsid w:val="001F08A1"/>
    <w:rsid w:val="001F4C1D"/>
    <w:rsid w:val="001F7898"/>
    <w:rsid w:val="00227317"/>
    <w:rsid w:val="00233FE2"/>
    <w:rsid w:val="00257229"/>
    <w:rsid w:val="00271692"/>
    <w:rsid w:val="002A76B9"/>
    <w:rsid w:val="002B5AFD"/>
    <w:rsid w:val="002B778D"/>
    <w:rsid w:val="002D2648"/>
    <w:rsid w:val="002E3A16"/>
    <w:rsid w:val="002E3B8B"/>
    <w:rsid w:val="002F1437"/>
    <w:rsid w:val="002F3E7A"/>
    <w:rsid w:val="002F46AD"/>
    <w:rsid w:val="002F6F54"/>
    <w:rsid w:val="003441FB"/>
    <w:rsid w:val="003677A5"/>
    <w:rsid w:val="00383316"/>
    <w:rsid w:val="003851C5"/>
    <w:rsid w:val="003945DE"/>
    <w:rsid w:val="0039561A"/>
    <w:rsid w:val="003D7FFE"/>
    <w:rsid w:val="003F1D9C"/>
    <w:rsid w:val="003F3BA8"/>
    <w:rsid w:val="004228CF"/>
    <w:rsid w:val="00422B65"/>
    <w:rsid w:val="00444CF0"/>
    <w:rsid w:val="00445ADC"/>
    <w:rsid w:val="00476275"/>
    <w:rsid w:val="00480E7D"/>
    <w:rsid w:val="00495B69"/>
    <w:rsid w:val="004A7106"/>
    <w:rsid w:val="004B7656"/>
    <w:rsid w:val="00502A76"/>
    <w:rsid w:val="00511087"/>
    <w:rsid w:val="0051140C"/>
    <w:rsid w:val="00511D3D"/>
    <w:rsid w:val="005328E3"/>
    <w:rsid w:val="00544966"/>
    <w:rsid w:val="00545765"/>
    <w:rsid w:val="005704CE"/>
    <w:rsid w:val="00576B4D"/>
    <w:rsid w:val="00584C64"/>
    <w:rsid w:val="00591BEC"/>
    <w:rsid w:val="00597D82"/>
    <w:rsid w:val="005B367B"/>
    <w:rsid w:val="005B536D"/>
    <w:rsid w:val="005B5D35"/>
    <w:rsid w:val="005C1816"/>
    <w:rsid w:val="005C44E2"/>
    <w:rsid w:val="005D3B1E"/>
    <w:rsid w:val="005D46F7"/>
    <w:rsid w:val="005E3A97"/>
    <w:rsid w:val="005E4473"/>
    <w:rsid w:val="005E70BF"/>
    <w:rsid w:val="005F1A87"/>
    <w:rsid w:val="00620C0D"/>
    <w:rsid w:val="006255E9"/>
    <w:rsid w:val="006350F9"/>
    <w:rsid w:val="0063533C"/>
    <w:rsid w:val="00644FD3"/>
    <w:rsid w:val="00647F6B"/>
    <w:rsid w:val="006724AB"/>
    <w:rsid w:val="00686D46"/>
    <w:rsid w:val="006906DE"/>
    <w:rsid w:val="006976EE"/>
    <w:rsid w:val="006A7A9D"/>
    <w:rsid w:val="006E7CD9"/>
    <w:rsid w:val="006F4B37"/>
    <w:rsid w:val="006F5B95"/>
    <w:rsid w:val="006F7F7C"/>
    <w:rsid w:val="00701A56"/>
    <w:rsid w:val="00705238"/>
    <w:rsid w:val="00705DAD"/>
    <w:rsid w:val="007179BB"/>
    <w:rsid w:val="00720AE5"/>
    <w:rsid w:val="00740268"/>
    <w:rsid w:val="007406AC"/>
    <w:rsid w:val="007562E1"/>
    <w:rsid w:val="00784F32"/>
    <w:rsid w:val="00792B54"/>
    <w:rsid w:val="00793B44"/>
    <w:rsid w:val="007A14A5"/>
    <w:rsid w:val="007C4682"/>
    <w:rsid w:val="007C4B72"/>
    <w:rsid w:val="007C6F54"/>
    <w:rsid w:val="007D0175"/>
    <w:rsid w:val="007D07CE"/>
    <w:rsid w:val="007D15D8"/>
    <w:rsid w:val="007D5D0C"/>
    <w:rsid w:val="00803F6F"/>
    <w:rsid w:val="008077C1"/>
    <w:rsid w:val="00833AC6"/>
    <w:rsid w:val="008401EE"/>
    <w:rsid w:val="0084548F"/>
    <w:rsid w:val="008827A8"/>
    <w:rsid w:val="00887D68"/>
    <w:rsid w:val="00894BA3"/>
    <w:rsid w:val="00896ADD"/>
    <w:rsid w:val="008C41A8"/>
    <w:rsid w:val="008D5A93"/>
    <w:rsid w:val="008E281E"/>
    <w:rsid w:val="008E7554"/>
    <w:rsid w:val="008F4B06"/>
    <w:rsid w:val="009106C5"/>
    <w:rsid w:val="00911DFD"/>
    <w:rsid w:val="00920F68"/>
    <w:rsid w:val="00922278"/>
    <w:rsid w:val="00922332"/>
    <w:rsid w:val="00931353"/>
    <w:rsid w:val="009337D6"/>
    <w:rsid w:val="009355B7"/>
    <w:rsid w:val="00937E29"/>
    <w:rsid w:val="009430EB"/>
    <w:rsid w:val="00965731"/>
    <w:rsid w:val="00970C0F"/>
    <w:rsid w:val="0098351A"/>
    <w:rsid w:val="00987EFA"/>
    <w:rsid w:val="009A69CA"/>
    <w:rsid w:val="009B00C5"/>
    <w:rsid w:val="009B1D90"/>
    <w:rsid w:val="009C40CF"/>
    <w:rsid w:val="009C5A1C"/>
    <w:rsid w:val="009D480F"/>
    <w:rsid w:val="009D56AB"/>
    <w:rsid w:val="009E56D8"/>
    <w:rsid w:val="00A2106E"/>
    <w:rsid w:val="00A221D8"/>
    <w:rsid w:val="00A4559A"/>
    <w:rsid w:val="00A56734"/>
    <w:rsid w:val="00A77EDE"/>
    <w:rsid w:val="00A928EB"/>
    <w:rsid w:val="00AA203C"/>
    <w:rsid w:val="00AA2FF2"/>
    <w:rsid w:val="00AA6875"/>
    <w:rsid w:val="00AB33FA"/>
    <w:rsid w:val="00AB5185"/>
    <w:rsid w:val="00AB5ABE"/>
    <w:rsid w:val="00AB5FD7"/>
    <w:rsid w:val="00AD0EEB"/>
    <w:rsid w:val="00AD3789"/>
    <w:rsid w:val="00AE4C9F"/>
    <w:rsid w:val="00AF5701"/>
    <w:rsid w:val="00B02EFE"/>
    <w:rsid w:val="00B03F06"/>
    <w:rsid w:val="00B201C5"/>
    <w:rsid w:val="00B321BB"/>
    <w:rsid w:val="00B34D38"/>
    <w:rsid w:val="00B51FC8"/>
    <w:rsid w:val="00B52385"/>
    <w:rsid w:val="00B624CC"/>
    <w:rsid w:val="00B64464"/>
    <w:rsid w:val="00B71583"/>
    <w:rsid w:val="00B9619F"/>
    <w:rsid w:val="00BA422D"/>
    <w:rsid w:val="00BA6C24"/>
    <w:rsid w:val="00BC5A5A"/>
    <w:rsid w:val="00BE0238"/>
    <w:rsid w:val="00BE17A9"/>
    <w:rsid w:val="00BE1DC3"/>
    <w:rsid w:val="00BF07DD"/>
    <w:rsid w:val="00BF58D7"/>
    <w:rsid w:val="00BF5ADF"/>
    <w:rsid w:val="00BF72D9"/>
    <w:rsid w:val="00C324C5"/>
    <w:rsid w:val="00C506B9"/>
    <w:rsid w:val="00C55B85"/>
    <w:rsid w:val="00C56225"/>
    <w:rsid w:val="00C60948"/>
    <w:rsid w:val="00C66348"/>
    <w:rsid w:val="00C92D6E"/>
    <w:rsid w:val="00C94833"/>
    <w:rsid w:val="00C965B9"/>
    <w:rsid w:val="00CB0BFB"/>
    <w:rsid w:val="00CD76D9"/>
    <w:rsid w:val="00CD7CDE"/>
    <w:rsid w:val="00CF45B1"/>
    <w:rsid w:val="00CF78C5"/>
    <w:rsid w:val="00D11194"/>
    <w:rsid w:val="00D412F2"/>
    <w:rsid w:val="00D42099"/>
    <w:rsid w:val="00D43DF6"/>
    <w:rsid w:val="00D44233"/>
    <w:rsid w:val="00D50C29"/>
    <w:rsid w:val="00D5119F"/>
    <w:rsid w:val="00D650A1"/>
    <w:rsid w:val="00D806A7"/>
    <w:rsid w:val="00D87668"/>
    <w:rsid w:val="00D95A54"/>
    <w:rsid w:val="00DA191E"/>
    <w:rsid w:val="00DA375D"/>
    <w:rsid w:val="00DD5058"/>
    <w:rsid w:val="00DE789C"/>
    <w:rsid w:val="00E00372"/>
    <w:rsid w:val="00E21F4F"/>
    <w:rsid w:val="00E32E44"/>
    <w:rsid w:val="00E4368C"/>
    <w:rsid w:val="00E6337B"/>
    <w:rsid w:val="00E6760C"/>
    <w:rsid w:val="00E77989"/>
    <w:rsid w:val="00E86FC3"/>
    <w:rsid w:val="00E9057B"/>
    <w:rsid w:val="00EA0144"/>
    <w:rsid w:val="00EA3ABE"/>
    <w:rsid w:val="00EA5929"/>
    <w:rsid w:val="00EE6A14"/>
    <w:rsid w:val="00EF5B06"/>
    <w:rsid w:val="00F33E77"/>
    <w:rsid w:val="00F4559F"/>
    <w:rsid w:val="00F5401A"/>
    <w:rsid w:val="00F57ABE"/>
    <w:rsid w:val="00F60884"/>
    <w:rsid w:val="00F7570D"/>
    <w:rsid w:val="00FA038B"/>
    <w:rsid w:val="00FC1243"/>
    <w:rsid w:val="00FC7692"/>
    <w:rsid w:val="00FC7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92D512"/>
  <w15:chartTrackingRefBased/>
  <w15:docId w15:val="{6A478CB2-6A4F-41E8-B1E1-D77BD980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355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0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0BF"/>
  </w:style>
  <w:style w:type="paragraph" w:styleId="Fuzeile">
    <w:name w:val="footer"/>
    <w:basedOn w:val="Standard"/>
    <w:link w:val="FuzeileZchn"/>
    <w:uiPriority w:val="99"/>
    <w:unhideWhenUsed/>
    <w:rsid w:val="005E70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0BF"/>
  </w:style>
  <w:style w:type="paragraph" w:styleId="Listenabsatz">
    <w:name w:val="List Paragraph"/>
    <w:basedOn w:val="Standard"/>
    <w:uiPriority w:val="34"/>
    <w:qFormat/>
    <w:rsid w:val="00032D5B"/>
    <w:pPr>
      <w:ind w:left="720"/>
      <w:contextualSpacing/>
    </w:pPr>
  </w:style>
  <w:style w:type="paragraph" w:styleId="Funotentext">
    <w:name w:val="footnote text"/>
    <w:basedOn w:val="Standard"/>
    <w:link w:val="FunotentextZchn"/>
    <w:uiPriority w:val="99"/>
    <w:semiHidden/>
    <w:unhideWhenUsed/>
    <w:rsid w:val="007C6F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C6F54"/>
    <w:rPr>
      <w:sz w:val="20"/>
      <w:szCs w:val="20"/>
    </w:rPr>
  </w:style>
  <w:style w:type="character" w:styleId="Funotenzeichen">
    <w:name w:val="footnote reference"/>
    <w:basedOn w:val="Absatz-Standardschriftart"/>
    <w:uiPriority w:val="99"/>
    <w:semiHidden/>
    <w:unhideWhenUsed/>
    <w:rsid w:val="007C6F54"/>
    <w:rPr>
      <w:vertAlign w:val="superscript"/>
    </w:rPr>
  </w:style>
  <w:style w:type="paragraph" w:styleId="Sprechblasentext">
    <w:name w:val="Balloon Text"/>
    <w:basedOn w:val="Standard"/>
    <w:link w:val="SprechblasentextZchn"/>
    <w:uiPriority w:val="99"/>
    <w:semiHidden/>
    <w:unhideWhenUsed/>
    <w:rsid w:val="00AB51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5185"/>
    <w:rPr>
      <w:rFonts w:ascii="Segoe UI" w:hAnsi="Segoe UI" w:cs="Segoe UI"/>
      <w:sz w:val="18"/>
      <w:szCs w:val="18"/>
    </w:rPr>
  </w:style>
  <w:style w:type="character" w:styleId="Kommentarzeichen">
    <w:name w:val="annotation reference"/>
    <w:basedOn w:val="Absatz-Standardschriftart"/>
    <w:uiPriority w:val="99"/>
    <w:semiHidden/>
    <w:unhideWhenUsed/>
    <w:rsid w:val="005D46F7"/>
    <w:rPr>
      <w:sz w:val="16"/>
      <w:szCs w:val="16"/>
    </w:rPr>
  </w:style>
  <w:style w:type="paragraph" w:styleId="Kommentartext">
    <w:name w:val="annotation text"/>
    <w:basedOn w:val="Standard"/>
    <w:link w:val="KommentartextZchn"/>
    <w:uiPriority w:val="99"/>
    <w:unhideWhenUsed/>
    <w:rsid w:val="005D46F7"/>
    <w:pPr>
      <w:spacing w:line="240" w:lineRule="auto"/>
    </w:pPr>
    <w:rPr>
      <w:sz w:val="20"/>
      <w:szCs w:val="20"/>
    </w:rPr>
  </w:style>
  <w:style w:type="character" w:customStyle="1" w:styleId="KommentartextZchn">
    <w:name w:val="Kommentartext Zchn"/>
    <w:basedOn w:val="Absatz-Standardschriftart"/>
    <w:link w:val="Kommentartext"/>
    <w:uiPriority w:val="99"/>
    <w:rsid w:val="005D46F7"/>
    <w:rPr>
      <w:sz w:val="20"/>
      <w:szCs w:val="20"/>
    </w:rPr>
  </w:style>
  <w:style w:type="paragraph" w:styleId="Kommentarthema">
    <w:name w:val="annotation subject"/>
    <w:basedOn w:val="Kommentartext"/>
    <w:next w:val="Kommentartext"/>
    <w:link w:val="KommentarthemaZchn"/>
    <w:uiPriority w:val="99"/>
    <w:semiHidden/>
    <w:unhideWhenUsed/>
    <w:rsid w:val="005D46F7"/>
    <w:rPr>
      <w:b/>
      <w:bCs/>
    </w:rPr>
  </w:style>
  <w:style w:type="character" w:customStyle="1" w:styleId="KommentarthemaZchn">
    <w:name w:val="Kommentarthema Zchn"/>
    <w:basedOn w:val="KommentartextZchn"/>
    <w:link w:val="Kommentarthema"/>
    <w:uiPriority w:val="99"/>
    <w:semiHidden/>
    <w:rsid w:val="005D46F7"/>
    <w:rPr>
      <w:b/>
      <w:bCs/>
      <w:sz w:val="20"/>
      <w:szCs w:val="20"/>
    </w:rPr>
  </w:style>
  <w:style w:type="paragraph" w:styleId="KeinLeerraum">
    <w:name w:val="No Spacing"/>
    <w:uiPriority w:val="1"/>
    <w:qFormat/>
    <w:rsid w:val="00C965B9"/>
    <w:pPr>
      <w:spacing w:after="0" w:line="240" w:lineRule="auto"/>
    </w:pPr>
  </w:style>
  <w:style w:type="character" w:customStyle="1" w:styleId="berschrift2Zchn">
    <w:name w:val="Überschrift 2 Zchn"/>
    <w:basedOn w:val="Absatz-Standardschriftart"/>
    <w:link w:val="berschrift2"/>
    <w:uiPriority w:val="9"/>
    <w:rsid w:val="009355B7"/>
    <w:rPr>
      <w:rFonts w:asciiTheme="majorHAnsi" w:eastAsiaTheme="majorEastAsia" w:hAnsiTheme="majorHAnsi" w:cstheme="majorBidi"/>
      <w:color w:val="2E74B5" w:themeColor="accent1" w:themeShade="BF"/>
      <w:sz w:val="26"/>
      <w:szCs w:val="26"/>
    </w:rPr>
  </w:style>
  <w:style w:type="paragraph" w:styleId="berarbeitung">
    <w:name w:val="Revision"/>
    <w:hidden/>
    <w:uiPriority w:val="99"/>
    <w:semiHidden/>
    <w:rsid w:val="009355B7"/>
    <w:pPr>
      <w:spacing w:after="0" w:line="240" w:lineRule="auto"/>
    </w:pPr>
  </w:style>
  <w:style w:type="table" w:styleId="Tabellenraster">
    <w:name w:val="Table Grid"/>
    <w:basedOn w:val="NormaleTabelle"/>
    <w:uiPriority w:val="39"/>
    <w:rsid w:val="00135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79711">
      <w:bodyDiv w:val="1"/>
      <w:marLeft w:val="0"/>
      <w:marRight w:val="0"/>
      <w:marTop w:val="0"/>
      <w:marBottom w:val="0"/>
      <w:divBdr>
        <w:top w:val="none" w:sz="0" w:space="0" w:color="auto"/>
        <w:left w:val="none" w:sz="0" w:space="0" w:color="auto"/>
        <w:bottom w:val="none" w:sz="0" w:space="0" w:color="auto"/>
        <w:right w:val="none" w:sz="0" w:space="0" w:color="auto"/>
      </w:divBdr>
    </w:div>
    <w:div w:id="1011644628">
      <w:bodyDiv w:val="1"/>
      <w:marLeft w:val="0"/>
      <w:marRight w:val="0"/>
      <w:marTop w:val="0"/>
      <w:marBottom w:val="0"/>
      <w:divBdr>
        <w:top w:val="none" w:sz="0" w:space="0" w:color="auto"/>
        <w:left w:val="none" w:sz="0" w:space="0" w:color="auto"/>
        <w:bottom w:val="none" w:sz="0" w:space="0" w:color="auto"/>
        <w:right w:val="none" w:sz="0" w:space="0" w:color="auto"/>
      </w:divBdr>
      <w:divsChild>
        <w:div w:id="397283864">
          <w:marLeft w:val="720"/>
          <w:marRight w:val="0"/>
          <w:marTop w:val="60"/>
          <w:marBottom w:val="0"/>
          <w:divBdr>
            <w:top w:val="none" w:sz="0" w:space="0" w:color="auto"/>
            <w:left w:val="none" w:sz="0" w:space="0" w:color="auto"/>
            <w:bottom w:val="none" w:sz="0" w:space="0" w:color="auto"/>
            <w:right w:val="none" w:sz="0" w:space="0" w:color="auto"/>
          </w:divBdr>
        </w:div>
      </w:divsChild>
    </w:div>
    <w:div w:id="1116952113">
      <w:bodyDiv w:val="1"/>
      <w:marLeft w:val="0"/>
      <w:marRight w:val="0"/>
      <w:marTop w:val="0"/>
      <w:marBottom w:val="0"/>
      <w:divBdr>
        <w:top w:val="none" w:sz="0" w:space="0" w:color="auto"/>
        <w:left w:val="none" w:sz="0" w:space="0" w:color="auto"/>
        <w:bottom w:val="none" w:sz="0" w:space="0" w:color="auto"/>
        <w:right w:val="none" w:sz="0" w:space="0" w:color="auto"/>
      </w:divBdr>
    </w:div>
    <w:div w:id="1171215083">
      <w:bodyDiv w:val="1"/>
      <w:marLeft w:val="0"/>
      <w:marRight w:val="0"/>
      <w:marTop w:val="0"/>
      <w:marBottom w:val="0"/>
      <w:divBdr>
        <w:top w:val="none" w:sz="0" w:space="0" w:color="auto"/>
        <w:left w:val="none" w:sz="0" w:space="0" w:color="auto"/>
        <w:bottom w:val="none" w:sz="0" w:space="0" w:color="auto"/>
        <w:right w:val="none" w:sz="0" w:space="0" w:color="auto"/>
      </w:divBdr>
      <w:divsChild>
        <w:div w:id="1518151297">
          <w:marLeft w:val="720"/>
          <w:marRight w:val="0"/>
          <w:marTop w:val="60"/>
          <w:marBottom w:val="0"/>
          <w:divBdr>
            <w:top w:val="none" w:sz="0" w:space="0" w:color="auto"/>
            <w:left w:val="none" w:sz="0" w:space="0" w:color="auto"/>
            <w:bottom w:val="none" w:sz="0" w:space="0" w:color="auto"/>
            <w:right w:val="none" w:sz="0" w:space="0" w:color="auto"/>
          </w:divBdr>
        </w:div>
      </w:divsChild>
    </w:div>
    <w:div w:id="1316690277">
      <w:bodyDiv w:val="1"/>
      <w:marLeft w:val="0"/>
      <w:marRight w:val="0"/>
      <w:marTop w:val="0"/>
      <w:marBottom w:val="0"/>
      <w:divBdr>
        <w:top w:val="none" w:sz="0" w:space="0" w:color="auto"/>
        <w:left w:val="none" w:sz="0" w:space="0" w:color="auto"/>
        <w:bottom w:val="none" w:sz="0" w:space="0" w:color="auto"/>
        <w:right w:val="none" w:sz="0" w:space="0" w:color="auto"/>
      </w:divBdr>
    </w:div>
    <w:div w:id="1752896775">
      <w:bodyDiv w:val="1"/>
      <w:marLeft w:val="0"/>
      <w:marRight w:val="0"/>
      <w:marTop w:val="0"/>
      <w:marBottom w:val="0"/>
      <w:divBdr>
        <w:top w:val="none" w:sz="0" w:space="0" w:color="auto"/>
        <w:left w:val="none" w:sz="0" w:space="0" w:color="auto"/>
        <w:bottom w:val="none" w:sz="0" w:space="0" w:color="auto"/>
        <w:right w:val="none" w:sz="0" w:space="0" w:color="auto"/>
      </w:divBdr>
    </w:div>
    <w:div w:id="1792895315">
      <w:bodyDiv w:val="1"/>
      <w:marLeft w:val="0"/>
      <w:marRight w:val="0"/>
      <w:marTop w:val="0"/>
      <w:marBottom w:val="0"/>
      <w:divBdr>
        <w:top w:val="none" w:sz="0" w:space="0" w:color="auto"/>
        <w:left w:val="none" w:sz="0" w:space="0" w:color="auto"/>
        <w:bottom w:val="none" w:sz="0" w:space="0" w:color="auto"/>
        <w:right w:val="none" w:sz="0" w:space="0" w:color="auto"/>
      </w:divBdr>
    </w:div>
    <w:div w:id="21278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W2K19-030ZDB\wi\2024\Besch&#228;ftigte%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SW2K19-030ZDB\wi\3_Rohwedder\Excel\2024\Baufertigstellunge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rgbClr val="0197C6"/>
            </a:solidFill>
            <a:ln>
              <a:solidFill>
                <a:srgbClr val="0197C6"/>
              </a:solidFill>
            </a:ln>
          </c:spPr>
          <c:invertIfNegative val="0"/>
          <c:dPt>
            <c:idx val="33"/>
            <c:invertIfNegative val="0"/>
            <c:bubble3D val="0"/>
            <c:spPr>
              <a:solidFill>
                <a:srgbClr val="0197C6">
                  <a:alpha val="50000"/>
                </a:srgbClr>
              </a:solidFill>
              <a:ln>
                <a:solidFill>
                  <a:srgbClr val="0197C6"/>
                </a:solidFill>
              </a:ln>
            </c:spPr>
            <c:extLst>
              <c:ext xmlns:c16="http://schemas.microsoft.com/office/drawing/2014/chart" uri="{C3380CC4-5D6E-409C-BE32-E72D297353CC}">
                <c16:uniqueId val="{00000001-6FCA-403E-B1E7-C327DE9E21BA}"/>
              </c:ext>
            </c:extLst>
          </c:dPt>
          <c:dPt>
            <c:idx val="34"/>
            <c:invertIfNegative val="0"/>
            <c:bubble3D val="0"/>
            <c:spPr>
              <a:solidFill>
                <a:srgbClr val="0197C6">
                  <a:alpha val="50196"/>
                </a:srgbClr>
              </a:solidFill>
              <a:ln>
                <a:solidFill>
                  <a:srgbClr val="0197C6"/>
                </a:solidFill>
              </a:ln>
            </c:spPr>
            <c:extLst>
              <c:ext xmlns:c16="http://schemas.microsoft.com/office/drawing/2014/chart" uri="{C3380CC4-5D6E-409C-BE32-E72D297353CC}">
                <c16:uniqueId val="{00000003-6FCA-403E-B1E7-C327DE9E21BA}"/>
              </c:ext>
            </c:extLst>
          </c:dPt>
          <c:dLbls>
            <c:spPr>
              <a:noFill/>
              <a:ln>
                <a:noFill/>
              </a:ln>
              <a:effectLst/>
            </c:spPr>
            <c:txPr>
              <a:bodyPr rot="-5400000" vert="horz" wrap="square" lIns="38100" tIns="19050" rIns="38100" bIns="19050" anchor="ctr">
                <a:spAutoFit/>
              </a:bodyPr>
              <a:lstStyle/>
              <a:p>
                <a:pPr>
                  <a:defRPr sz="900">
                    <a:solidFill>
                      <a:schemeClr val="bg1"/>
                    </a:solidFill>
                  </a:defRPr>
                </a:pPr>
                <a:endParaRPr lang="de-D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Beschäftigte!$X$15:$X$49</c:f>
              <c:numCache>
                <c:formatCode>General</c:formatCode>
                <c:ptCount val="3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pt idx="32">
                  <c:v>2023</c:v>
                </c:pt>
                <c:pt idx="33">
                  <c:v>2024</c:v>
                </c:pt>
                <c:pt idx="34">
                  <c:v>2025</c:v>
                </c:pt>
              </c:numCache>
            </c:numRef>
          </c:cat>
          <c:val>
            <c:numRef>
              <c:f>Beschäftigte!$Y$15:$Y$49</c:f>
              <c:numCache>
                <c:formatCode>#,##0</c:formatCode>
                <c:ptCount val="35"/>
                <c:pt idx="0">
                  <c:v>1282329</c:v>
                </c:pt>
                <c:pt idx="1">
                  <c:v>1301121</c:v>
                </c:pt>
                <c:pt idx="2">
                  <c:v>1342653</c:v>
                </c:pt>
                <c:pt idx="3">
                  <c:v>1405185</c:v>
                </c:pt>
                <c:pt idx="4">
                  <c:v>1411771</c:v>
                </c:pt>
                <c:pt idx="5">
                  <c:v>1311672</c:v>
                </c:pt>
                <c:pt idx="6">
                  <c:v>1221331</c:v>
                </c:pt>
                <c:pt idx="7">
                  <c:v>1155913</c:v>
                </c:pt>
                <c:pt idx="8">
                  <c:v>1109833</c:v>
                </c:pt>
                <c:pt idx="9">
                  <c:v>1049633.1666666667</c:v>
                </c:pt>
                <c:pt idx="10">
                  <c:v>954397.66666666663</c:v>
                </c:pt>
                <c:pt idx="11">
                  <c:v>880069.25</c:v>
                </c:pt>
                <c:pt idx="12">
                  <c:v>814129.16666666663</c:v>
                </c:pt>
                <c:pt idx="13">
                  <c:v>767172.16666666663</c:v>
                </c:pt>
                <c:pt idx="14">
                  <c:v>717081.5</c:v>
                </c:pt>
                <c:pt idx="15">
                  <c:v>710483.41666666663</c:v>
                </c:pt>
                <c:pt idx="16">
                  <c:v>713728.75</c:v>
                </c:pt>
                <c:pt idx="17">
                  <c:v>705288.66666666663</c:v>
                </c:pt>
                <c:pt idx="18">
                  <c:v>704756.75</c:v>
                </c:pt>
                <c:pt idx="19">
                  <c:v>715837</c:v>
                </c:pt>
                <c:pt idx="20">
                  <c:v>734128</c:v>
                </c:pt>
                <c:pt idx="21">
                  <c:v>744926</c:v>
                </c:pt>
                <c:pt idx="22">
                  <c:v>756432</c:v>
                </c:pt>
                <c:pt idx="23">
                  <c:v>757372</c:v>
                </c:pt>
                <c:pt idx="24">
                  <c:v>763400</c:v>
                </c:pt>
                <c:pt idx="25">
                  <c:v>781394.16666666663</c:v>
                </c:pt>
                <c:pt idx="26">
                  <c:v>811541.97700627241</c:v>
                </c:pt>
                <c:pt idx="27">
                  <c:v>836816.63487626158</c:v>
                </c:pt>
                <c:pt idx="28">
                  <c:v>870201</c:v>
                </c:pt>
                <c:pt idx="29">
                  <c:v>892663.4730304043</c:v>
                </c:pt>
                <c:pt idx="30">
                  <c:v>911482</c:v>
                </c:pt>
                <c:pt idx="31">
                  <c:v>926659.27341512777</c:v>
                </c:pt>
                <c:pt idx="32">
                  <c:v>927779.82862432487</c:v>
                </c:pt>
                <c:pt idx="33">
                  <c:v>912000</c:v>
                </c:pt>
                <c:pt idx="34" formatCode="General">
                  <c:v>905000</c:v>
                </c:pt>
              </c:numCache>
            </c:numRef>
          </c:val>
          <c:extLst>
            <c:ext xmlns:c16="http://schemas.microsoft.com/office/drawing/2014/chart" uri="{C3380CC4-5D6E-409C-BE32-E72D297353CC}">
              <c16:uniqueId val="{00000004-6FCA-403E-B1E7-C327DE9E21BA}"/>
            </c:ext>
          </c:extLst>
        </c:ser>
        <c:dLbls>
          <c:showLegendKey val="0"/>
          <c:showVal val="0"/>
          <c:showCatName val="0"/>
          <c:showSerName val="0"/>
          <c:showPercent val="0"/>
          <c:showBubbleSize val="0"/>
        </c:dLbls>
        <c:gapWidth val="75"/>
        <c:axId val="161801728"/>
        <c:axId val="161803264"/>
      </c:barChart>
      <c:catAx>
        <c:axId val="161801728"/>
        <c:scaling>
          <c:orientation val="minMax"/>
        </c:scaling>
        <c:delete val="0"/>
        <c:axPos val="b"/>
        <c:numFmt formatCode="General" sourceLinked="1"/>
        <c:majorTickMark val="none"/>
        <c:minorTickMark val="none"/>
        <c:tickLblPos val="nextTo"/>
        <c:txPr>
          <a:bodyPr/>
          <a:lstStyle/>
          <a:p>
            <a:pPr>
              <a:defRPr sz="900"/>
            </a:pPr>
            <a:endParaRPr lang="de-DE"/>
          </a:p>
        </c:txPr>
        <c:crossAx val="161803264"/>
        <c:crosses val="autoZero"/>
        <c:auto val="1"/>
        <c:lblAlgn val="ctr"/>
        <c:lblOffset val="100"/>
        <c:noMultiLvlLbl val="0"/>
      </c:catAx>
      <c:valAx>
        <c:axId val="161803264"/>
        <c:scaling>
          <c:orientation val="minMax"/>
        </c:scaling>
        <c:delete val="0"/>
        <c:axPos val="l"/>
        <c:majorGridlines/>
        <c:numFmt formatCode="#,##0" sourceLinked="1"/>
        <c:majorTickMark val="none"/>
        <c:minorTickMark val="none"/>
        <c:tickLblPos val="nextTo"/>
        <c:spPr>
          <a:ln w="9525">
            <a:noFill/>
          </a:ln>
        </c:spPr>
        <c:crossAx val="161801728"/>
        <c:crosses val="autoZero"/>
        <c:crossBetween val="between"/>
      </c:valAx>
      <c:spPr>
        <a:solidFill>
          <a:schemeClr val="bg1"/>
        </a:solidFill>
      </c:spPr>
    </c:plotArea>
    <c:plotVisOnly val="1"/>
    <c:dispBlanksAs val="gap"/>
    <c:showDLblsOverMax val="0"/>
  </c:chart>
  <c:spPr>
    <a:solidFill>
      <a:srgbClr val="DBEEF4"/>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97C6"/>
            </a:solidFill>
            <a:ln>
              <a:noFill/>
            </a:ln>
            <a:effectLst/>
          </c:spPr>
          <c:invertIfNegative val="0"/>
          <c:dPt>
            <c:idx val="24"/>
            <c:invertIfNegative val="0"/>
            <c:bubble3D val="0"/>
            <c:spPr>
              <a:solidFill>
                <a:srgbClr val="0197C6">
                  <a:alpha val="50196"/>
                </a:srgbClr>
              </a:solidFill>
              <a:ln>
                <a:noFill/>
              </a:ln>
              <a:effectLst/>
            </c:spPr>
            <c:extLst>
              <c:ext xmlns:c16="http://schemas.microsoft.com/office/drawing/2014/chart" uri="{C3380CC4-5D6E-409C-BE32-E72D297353CC}">
                <c16:uniqueId val="{00000001-2144-4F21-91A5-9D5041273514}"/>
              </c:ext>
            </c:extLst>
          </c:dPt>
          <c:dPt>
            <c:idx val="25"/>
            <c:invertIfNegative val="0"/>
            <c:bubble3D val="0"/>
            <c:spPr>
              <a:solidFill>
                <a:srgbClr val="0197C6">
                  <a:alpha val="50196"/>
                </a:srgbClr>
              </a:solidFill>
              <a:ln>
                <a:noFill/>
              </a:ln>
              <a:effectLst/>
            </c:spPr>
            <c:extLst>
              <c:ext xmlns:c16="http://schemas.microsoft.com/office/drawing/2014/chart" uri="{C3380CC4-5D6E-409C-BE32-E72D297353CC}">
                <c16:uniqueId val="{00000003-2144-4F21-91A5-9D5041273514}"/>
              </c:ext>
            </c:extLst>
          </c:dPt>
          <c:dPt>
            <c:idx val="26"/>
            <c:invertIfNegative val="0"/>
            <c:bubble3D val="0"/>
            <c:spPr>
              <a:solidFill>
                <a:srgbClr val="C00000"/>
              </a:solidFill>
              <a:ln>
                <a:noFill/>
              </a:ln>
              <a:effectLst/>
            </c:spPr>
            <c:extLst>
              <c:ext xmlns:c16="http://schemas.microsoft.com/office/drawing/2014/chart" uri="{C3380CC4-5D6E-409C-BE32-E72D297353CC}">
                <c16:uniqueId val="{00000005-2144-4F21-91A5-9D5041273514}"/>
              </c:ext>
            </c:extLst>
          </c:dPt>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de-D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Jahresdaten!$B$2:$AB$2</c:f>
              <c:strCache>
                <c:ptCount val="2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 Prognose ZDB</c:v>
                </c:pt>
                <c:pt idx="25">
                  <c:v>2025 Prognose ZDB</c:v>
                </c:pt>
                <c:pt idx="26">
                  <c:v>Ziel Koalition 2021</c:v>
                </c:pt>
              </c:strCache>
            </c:strRef>
          </c:cat>
          <c:val>
            <c:numRef>
              <c:f>Jahresdaten!$B$3:$AB$3</c:f>
              <c:numCache>
                <c:formatCode>#,##0</c:formatCode>
                <c:ptCount val="27"/>
                <c:pt idx="0">
                  <c:v>423044</c:v>
                </c:pt>
                <c:pt idx="1">
                  <c:v>326187</c:v>
                </c:pt>
                <c:pt idx="2">
                  <c:v>289590</c:v>
                </c:pt>
                <c:pt idx="3">
                  <c:v>268103</c:v>
                </c:pt>
                <c:pt idx="4">
                  <c:v>278008</c:v>
                </c:pt>
                <c:pt idx="5">
                  <c:v>242316</c:v>
                </c:pt>
                <c:pt idx="6">
                  <c:v>249436</c:v>
                </c:pt>
                <c:pt idx="7">
                  <c:v>210729</c:v>
                </c:pt>
                <c:pt idx="8">
                  <c:v>175927</c:v>
                </c:pt>
                <c:pt idx="9">
                  <c:v>158987</c:v>
                </c:pt>
                <c:pt idx="10">
                  <c:v>159832</c:v>
                </c:pt>
                <c:pt idx="11">
                  <c:v>183110</c:v>
                </c:pt>
                <c:pt idx="12">
                  <c:v>200466</c:v>
                </c:pt>
                <c:pt idx="13">
                  <c:v>214817</c:v>
                </c:pt>
                <c:pt idx="14">
                  <c:v>245325</c:v>
                </c:pt>
                <c:pt idx="15">
                  <c:v>247722</c:v>
                </c:pt>
                <c:pt idx="16">
                  <c:v>277691</c:v>
                </c:pt>
                <c:pt idx="17">
                  <c:v>284816</c:v>
                </c:pt>
                <c:pt idx="18">
                  <c:v>287352</c:v>
                </c:pt>
                <c:pt idx="19">
                  <c:v>293002</c:v>
                </c:pt>
                <c:pt idx="20">
                  <c:v>306376</c:v>
                </c:pt>
                <c:pt idx="21">
                  <c:v>293393</c:v>
                </c:pt>
                <c:pt idx="22">
                  <c:v>295275</c:v>
                </c:pt>
                <c:pt idx="23">
                  <c:v>294399</c:v>
                </c:pt>
                <c:pt idx="24">
                  <c:v>255000</c:v>
                </c:pt>
                <c:pt idx="25">
                  <c:v>220000</c:v>
                </c:pt>
                <c:pt idx="26">
                  <c:v>400000</c:v>
                </c:pt>
              </c:numCache>
            </c:numRef>
          </c:val>
          <c:extLst>
            <c:ext xmlns:c16="http://schemas.microsoft.com/office/drawing/2014/chart" uri="{C3380CC4-5D6E-409C-BE32-E72D297353CC}">
              <c16:uniqueId val="{00000006-2144-4F21-91A5-9D5041273514}"/>
            </c:ext>
          </c:extLst>
        </c:ser>
        <c:dLbls>
          <c:showLegendKey val="0"/>
          <c:showVal val="0"/>
          <c:showCatName val="0"/>
          <c:showSerName val="0"/>
          <c:showPercent val="0"/>
          <c:showBubbleSize val="0"/>
        </c:dLbls>
        <c:gapWidth val="100"/>
        <c:overlap val="-27"/>
        <c:axId val="161994991"/>
        <c:axId val="161995471"/>
      </c:barChart>
      <c:catAx>
        <c:axId val="16199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61995471"/>
        <c:crosses val="autoZero"/>
        <c:auto val="1"/>
        <c:lblAlgn val="ctr"/>
        <c:lblOffset val="100"/>
        <c:noMultiLvlLbl val="0"/>
      </c:catAx>
      <c:valAx>
        <c:axId val="1619954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61994991"/>
        <c:crosses val="autoZero"/>
        <c:crossBetween val="between"/>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DBEEF4"/>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0.79913</cdr:x>
      <cdr:y>0.09634</cdr:y>
    </cdr:from>
    <cdr:to>
      <cdr:x>0.97074</cdr:x>
      <cdr:y>0.2659</cdr:y>
    </cdr:to>
    <cdr:cxnSp macro="">
      <cdr:nvCxnSpPr>
        <cdr:cNvPr id="2" name="Gerade Verbindung mit Pfeil 1">
          <a:extLst xmlns:a="http://schemas.openxmlformats.org/drawingml/2006/main">
            <a:ext uri="{FF2B5EF4-FFF2-40B4-BE49-F238E27FC236}">
              <a16:creationId xmlns:a16="http://schemas.microsoft.com/office/drawing/2014/main" id="{001F869F-7DE6-725B-CC48-6FF30798B61F}"/>
            </a:ext>
          </a:extLst>
        </cdr:cNvPr>
        <cdr:cNvCxnSpPr/>
      </cdr:nvCxnSpPr>
      <cdr:spPr>
        <a:xfrm xmlns:a="http://schemas.openxmlformats.org/drawingml/2006/main" flipV="1">
          <a:off x="6416676" y="317500"/>
          <a:ext cx="1377950" cy="558800"/>
        </a:xfrm>
        <a:prstGeom xmlns:a="http://schemas.openxmlformats.org/drawingml/2006/main" prst="straightConnector1">
          <a:avLst/>
        </a:prstGeom>
        <a:ln xmlns:a="http://schemas.openxmlformats.org/drawingml/2006/main" w="28575">
          <a:solidFill>
            <a:srgbClr val="C00000"/>
          </a:solidFill>
          <a:prstDash val="dash"/>
          <a:miter lim="8000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3C0F-FC18-4A98-BE05-1E0815B3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3185</Words>
  <Characters>20066</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dc:creator>
  <cp:keywords/>
  <dc:description/>
  <cp:lastModifiedBy>Rabe</cp:lastModifiedBy>
  <cp:revision>2</cp:revision>
  <cp:lastPrinted>2024-12-05T12:41:00Z</cp:lastPrinted>
  <dcterms:created xsi:type="dcterms:W3CDTF">2024-12-05T12:41:00Z</dcterms:created>
  <dcterms:modified xsi:type="dcterms:W3CDTF">2024-12-05T12:41:00Z</dcterms:modified>
</cp:coreProperties>
</file>